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020"/>
      </w:tblGrid>
      <w:tr w:rsidR="005E7D51" w:rsidRPr="003F6756" w14:paraId="24BEFD3E" w14:textId="77777777" w:rsidTr="005E417E">
        <w:trPr>
          <w:trHeight w:val="2330"/>
        </w:trPr>
        <w:tc>
          <w:tcPr>
            <w:tcW w:w="2160" w:type="dxa"/>
          </w:tcPr>
          <w:p w14:paraId="0F08DA6D" w14:textId="018F2771" w:rsidR="005E7D51" w:rsidRDefault="00066D62" w:rsidP="00B40075">
            <w:pPr>
              <w:tabs>
                <w:tab w:val="left" w:pos="0"/>
                <w:tab w:val="left" w:pos="567"/>
              </w:tabs>
              <w:jc w:val="both"/>
              <w:rPr>
                <w:rFonts w:cs="Arial"/>
              </w:rPr>
            </w:pPr>
            <w:r>
              <w:rPr>
                <w:noProof/>
              </w:rPr>
              <w:drawing>
                <wp:anchor distT="0" distB="0" distL="114300" distR="114300" simplePos="0" relativeHeight="251658240" behindDoc="0" locked="0" layoutInCell="1" allowOverlap="1" wp14:anchorId="34A8614A" wp14:editId="6248E7AD">
                  <wp:simplePos x="0" y="0"/>
                  <wp:positionH relativeFrom="column">
                    <wp:posOffset>64771</wp:posOffset>
                  </wp:positionH>
                  <wp:positionV relativeFrom="paragraph">
                    <wp:posOffset>50800</wp:posOffset>
                  </wp:positionV>
                  <wp:extent cx="1085850"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12830" r="17522" b="11628"/>
                          <a:stretch/>
                        </pic:blipFill>
                        <pic:spPr bwMode="auto">
                          <a:xfrm>
                            <a:off x="0" y="0"/>
                            <a:ext cx="1085850"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B05093" w14:textId="79384B85" w:rsidR="00FB14F3" w:rsidRPr="003F6756" w:rsidRDefault="00FB14F3" w:rsidP="00B40075">
            <w:pPr>
              <w:tabs>
                <w:tab w:val="left" w:pos="0"/>
                <w:tab w:val="left" w:pos="567"/>
              </w:tabs>
              <w:jc w:val="both"/>
              <w:rPr>
                <w:rFonts w:cs="Arial"/>
              </w:rPr>
            </w:pPr>
            <w:r>
              <w:rPr>
                <w:rFonts w:ascii="Arial" w:hAnsi="Arial" w:cs="Arial"/>
                <w:noProof/>
                <w:sz w:val="17"/>
                <w:szCs w:val="17"/>
              </w:rPr>
              <w:t xml:space="preserve">   </w:t>
            </w:r>
          </w:p>
          <w:p w14:paraId="44101475" w14:textId="77777777" w:rsidR="005E7D51" w:rsidRPr="003F6756" w:rsidRDefault="005E7D51" w:rsidP="00B40075">
            <w:pPr>
              <w:tabs>
                <w:tab w:val="left" w:pos="0"/>
                <w:tab w:val="left" w:pos="567"/>
              </w:tabs>
              <w:jc w:val="both"/>
              <w:rPr>
                <w:rFonts w:cs="Arial"/>
                <w:b/>
                <w:bCs/>
              </w:rPr>
            </w:pPr>
          </w:p>
        </w:tc>
        <w:tc>
          <w:tcPr>
            <w:tcW w:w="7020" w:type="dxa"/>
          </w:tcPr>
          <w:p w14:paraId="37EDAC6A" w14:textId="77777777" w:rsidR="005E7D51" w:rsidRPr="003F6756" w:rsidRDefault="005E7D51" w:rsidP="00B40075">
            <w:pPr>
              <w:jc w:val="both"/>
              <w:rPr>
                <w:rFonts w:cs="Arial"/>
                <w:b/>
                <w:bCs/>
              </w:rPr>
            </w:pPr>
          </w:p>
          <w:p w14:paraId="33FC252B" w14:textId="0AE7067E" w:rsidR="00486511" w:rsidRPr="00486511" w:rsidRDefault="00486511" w:rsidP="00B40075">
            <w:pPr>
              <w:jc w:val="both"/>
              <w:rPr>
                <w:rFonts w:cs="Arial"/>
                <w:b/>
                <w:bCs/>
                <w:lang w:val="id-ID"/>
              </w:rPr>
            </w:pPr>
          </w:p>
          <w:p w14:paraId="6B2AA11C" w14:textId="37948E9C" w:rsidR="005E7D51" w:rsidRPr="000D2920" w:rsidRDefault="000D2920" w:rsidP="00B40075">
            <w:pPr>
              <w:jc w:val="center"/>
              <w:rPr>
                <w:rFonts w:ascii="Arial Bold" w:hAnsi="Arial Bold" w:cs="Arial"/>
                <w:b/>
                <w:bCs/>
                <w:smallCaps/>
                <w:sz w:val="28"/>
                <w:lang w:val="id-ID"/>
              </w:rPr>
            </w:pPr>
            <w:r w:rsidRPr="000D2920">
              <w:rPr>
                <w:rFonts w:ascii="Arial Bold" w:hAnsi="Arial Bold" w:cs="Arial"/>
                <w:b/>
                <w:bCs/>
                <w:smallCaps/>
                <w:sz w:val="28"/>
                <w:lang w:val="pt-PT"/>
              </w:rPr>
              <w:t>Curriculum Vitae</w:t>
            </w:r>
          </w:p>
          <w:p w14:paraId="5D739BBE" w14:textId="229F698A" w:rsidR="00486511" w:rsidRPr="00230A1E" w:rsidRDefault="00486511" w:rsidP="00B40075">
            <w:pPr>
              <w:jc w:val="center"/>
              <w:rPr>
                <w:rFonts w:ascii="Arial Bold" w:hAnsi="Arial Bold" w:cs="Arial"/>
                <w:b/>
                <w:bCs/>
                <w:sz w:val="22"/>
                <w:lang w:val="id-ID"/>
              </w:rPr>
            </w:pPr>
          </w:p>
          <w:p w14:paraId="69802BB0" w14:textId="1BC65B44" w:rsidR="009F4A22" w:rsidRPr="00803E6E" w:rsidRDefault="009F4A22" w:rsidP="009F4A22">
            <w:pPr>
              <w:jc w:val="center"/>
              <w:rPr>
                <w:rFonts w:ascii="Arial Bold" w:hAnsi="Arial Bold" w:cs="Arial"/>
                <w:b/>
                <w:bCs/>
                <w:smallCaps/>
                <w:sz w:val="22"/>
                <w:lang w:val="id-ID"/>
              </w:rPr>
            </w:pPr>
            <w:r w:rsidRPr="00803E6E">
              <w:rPr>
                <w:rFonts w:ascii="Arial Bold" w:hAnsi="Arial Bold" w:cs="Arial"/>
                <w:b/>
                <w:bCs/>
                <w:smallCaps/>
                <w:sz w:val="22"/>
                <w:lang w:val="pt-PT"/>
              </w:rPr>
              <w:t>Milanti T. Kirana</w:t>
            </w:r>
          </w:p>
          <w:p w14:paraId="7AB59FC3" w14:textId="4FE3503C" w:rsidR="005E7D51" w:rsidRPr="00486511" w:rsidRDefault="005E7D51" w:rsidP="00B40075">
            <w:pPr>
              <w:jc w:val="center"/>
              <w:rPr>
                <w:rFonts w:cs="Arial"/>
                <w:b/>
                <w:bCs/>
                <w:lang w:val="id-ID"/>
              </w:rPr>
            </w:pPr>
          </w:p>
        </w:tc>
      </w:tr>
      <w:tr w:rsidR="00436E85" w:rsidRPr="00436E85" w14:paraId="73E246C8" w14:textId="77777777" w:rsidTr="005E417E">
        <w:tblPrEx>
          <w:tblBorders>
            <w:insideH w:val="none" w:sz="0" w:space="0" w:color="auto"/>
            <w:insideV w:val="none" w:sz="0" w:space="0" w:color="auto"/>
          </w:tblBorders>
          <w:tblLook w:val="0000" w:firstRow="0" w:lastRow="0" w:firstColumn="0" w:lastColumn="0" w:noHBand="0" w:noVBand="0"/>
        </w:tblPrEx>
        <w:tc>
          <w:tcPr>
            <w:tcW w:w="9180" w:type="dxa"/>
            <w:gridSpan w:val="2"/>
            <w:tcBorders>
              <w:top w:val="single" w:sz="4" w:space="0" w:color="auto"/>
              <w:left w:val="single" w:sz="4" w:space="0" w:color="auto"/>
              <w:bottom w:val="single" w:sz="4" w:space="0" w:color="auto"/>
              <w:right w:val="single" w:sz="4" w:space="0" w:color="auto"/>
            </w:tcBorders>
            <w:shd w:val="clear" w:color="auto" w:fill="002060"/>
          </w:tcPr>
          <w:p w14:paraId="4E0601AC" w14:textId="77777777" w:rsidR="00436E85" w:rsidRPr="007C596C" w:rsidRDefault="00436E85">
            <w:pPr>
              <w:pStyle w:val="TOCHeading"/>
              <w:spacing w:before="0" w:line="240" w:lineRule="auto"/>
              <w:rPr>
                <w:rFonts w:cs="Arial"/>
                <w:bCs/>
                <w:smallCaps/>
                <w:sz w:val="10"/>
                <w:szCs w:val="24"/>
                <w:lang w:val="id-ID"/>
              </w:rPr>
            </w:pPr>
          </w:p>
          <w:p w14:paraId="577B0EA1" w14:textId="77777777" w:rsidR="00436E85" w:rsidRPr="007C596C" w:rsidRDefault="00436E85">
            <w:pPr>
              <w:pStyle w:val="TOCHeading"/>
              <w:spacing w:before="0" w:line="240" w:lineRule="auto"/>
              <w:rPr>
                <w:rFonts w:cs="Arial"/>
                <w:bCs/>
                <w:smallCaps/>
                <w:sz w:val="18"/>
                <w:szCs w:val="24"/>
                <w:lang w:val="id-ID"/>
              </w:rPr>
            </w:pPr>
            <w:r w:rsidRPr="007C596C">
              <w:rPr>
                <w:rFonts w:cs="Arial"/>
                <w:bCs/>
                <w:smallCaps/>
                <w:sz w:val="18"/>
                <w:szCs w:val="24"/>
                <w:lang w:val="id-ID"/>
              </w:rPr>
              <w:t>Personal Information</w:t>
            </w:r>
          </w:p>
          <w:p w14:paraId="26ED2CF4" w14:textId="77777777" w:rsidR="00436E85" w:rsidRPr="007C596C" w:rsidRDefault="00436E85">
            <w:pPr>
              <w:rPr>
                <w:rFonts w:ascii="Arial" w:hAnsi="Arial" w:cs="Arial"/>
                <w:sz w:val="10"/>
                <w:lang w:val="id-ID"/>
              </w:rPr>
            </w:pPr>
          </w:p>
        </w:tc>
      </w:tr>
      <w:tr w:rsidR="002A2C5C" w14:paraId="2E24EBA8" w14:textId="77777777" w:rsidTr="005E417E">
        <w:tblPrEx>
          <w:tblBorders>
            <w:insideH w:val="none" w:sz="0" w:space="0" w:color="auto"/>
            <w:insideV w:val="none" w:sz="0" w:space="0" w:color="auto"/>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vAlign w:val="center"/>
          </w:tcPr>
          <w:p w14:paraId="4AC2650F" w14:textId="77777777" w:rsidR="00436E85" w:rsidRPr="007C596C" w:rsidRDefault="00436E85" w:rsidP="00436E85">
            <w:pPr>
              <w:rPr>
                <w:rFonts w:ascii="Arial" w:hAnsi="Arial" w:cs="Arial"/>
                <w:b/>
                <w:bCs/>
                <w:smallCaps/>
                <w:sz w:val="10"/>
                <w:lang w:val="id-ID"/>
              </w:rPr>
            </w:pPr>
          </w:p>
          <w:p w14:paraId="1EABDAC6" w14:textId="77777777" w:rsidR="002A2C5C" w:rsidRPr="007C596C" w:rsidRDefault="00247949" w:rsidP="00436E85">
            <w:pPr>
              <w:rPr>
                <w:rFonts w:ascii="Arial" w:hAnsi="Arial" w:cs="Arial"/>
                <w:b/>
                <w:bCs/>
                <w:smallCaps/>
                <w:sz w:val="18"/>
                <w:lang w:val="id-ID"/>
              </w:rPr>
            </w:pPr>
            <w:r w:rsidRPr="007C596C">
              <w:rPr>
                <w:rFonts w:ascii="Arial" w:hAnsi="Arial" w:cs="Arial"/>
                <w:b/>
                <w:bCs/>
                <w:smallCaps/>
                <w:sz w:val="18"/>
                <w:lang w:val="af-ZA"/>
              </w:rPr>
              <w:t>Position:</w:t>
            </w:r>
          </w:p>
          <w:p w14:paraId="41F4AE1A" w14:textId="77777777" w:rsidR="00436E85" w:rsidRPr="007C596C" w:rsidRDefault="00436E85" w:rsidP="00436E85">
            <w:pPr>
              <w:rPr>
                <w:rFonts w:ascii="Arial" w:hAnsi="Arial" w:cs="Arial"/>
                <w:b/>
                <w:bCs/>
                <w:smallCaps/>
                <w:sz w:val="10"/>
                <w:lang w:val="id-ID"/>
              </w:rPr>
            </w:pPr>
          </w:p>
        </w:tc>
        <w:tc>
          <w:tcPr>
            <w:tcW w:w="7020" w:type="dxa"/>
            <w:tcBorders>
              <w:top w:val="single" w:sz="4" w:space="0" w:color="auto"/>
              <w:left w:val="single" w:sz="4" w:space="0" w:color="auto"/>
              <w:bottom w:val="single" w:sz="4" w:space="0" w:color="auto"/>
              <w:right w:val="single" w:sz="4" w:space="0" w:color="auto"/>
            </w:tcBorders>
            <w:vAlign w:val="center"/>
          </w:tcPr>
          <w:p w14:paraId="62C802EB" w14:textId="2AC30343" w:rsidR="002A2C5C" w:rsidRPr="007C596C" w:rsidRDefault="00247949" w:rsidP="00230A1E">
            <w:pPr>
              <w:ind w:left="72"/>
              <w:rPr>
                <w:rFonts w:ascii="Arial" w:hAnsi="Arial" w:cs="Arial"/>
                <w:sz w:val="18"/>
                <w:lang w:val="af-ZA"/>
              </w:rPr>
            </w:pPr>
            <w:r w:rsidRPr="007C596C">
              <w:rPr>
                <w:rFonts w:ascii="Arial" w:hAnsi="Arial" w:cs="Arial"/>
                <w:sz w:val="18"/>
                <w:lang w:val="af-ZA"/>
              </w:rPr>
              <w:t xml:space="preserve">Partner </w:t>
            </w:r>
          </w:p>
        </w:tc>
      </w:tr>
      <w:tr w:rsidR="002A2C5C" w14:paraId="6455C85B" w14:textId="77777777" w:rsidTr="005E417E">
        <w:tblPrEx>
          <w:tblBorders>
            <w:insideH w:val="none" w:sz="0" w:space="0" w:color="auto"/>
            <w:insideV w:val="none" w:sz="0" w:space="0" w:color="auto"/>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vAlign w:val="center"/>
          </w:tcPr>
          <w:p w14:paraId="5971504A" w14:textId="77777777" w:rsidR="00436E85" w:rsidRPr="007C596C" w:rsidRDefault="00436E85" w:rsidP="00436E85">
            <w:pPr>
              <w:rPr>
                <w:rFonts w:ascii="Arial" w:hAnsi="Arial" w:cs="Arial"/>
                <w:b/>
                <w:bCs/>
                <w:smallCaps/>
                <w:sz w:val="10"/>
                <w:lang w:val="id-ID"/>
              </w:rPr>
            </w:pPr>
          </w:p>
          <w:p w14:paraId="6B2212ED" w14:textId="77777777" w:rsidR="002A2C5C" w:rsidRPr="007C596C" w:rsidRDefault="00247949" w:rsidP="00436E85">
            <w:pPr>
              <w:rPr>
                <w:rFonts w:ascii="Arial" w:hAnsi="Arial" w:cs="Arial"/>
                <w:b/>
                <w:bCs/>
                <w:smallCaps/>
                <w:sz w:val="18"/>
                <w:lang w:val="id-ID"/>
              </w:rPr>
            </w:pPr>
            <w:r w:rsidRPr="007C596C">
              <w:rPr>
                <w:rFonts w:ascii="Arial" w:hAnsi="Arial" w:cs="Arial"/>
                <w:b/>
                <w:bCs/>
                <w:smallCaps/>
                <w:sz w:val="18"/>
                <w:lang w:val="af-ZA"/>
              </w:rPr>
              <w:t>Nationality:</w:t>
            </w:r>
          </w:p>
          <w:p w14:paraId="153D0B75" w14:textId="77777777" w:rsidR="00436E85" w:rsidRPr="007C596C" w:rsidRDefault="00436E85" w:rsidP="00436E85">
            <w:pPr>
              <w:rPr>
                <w:rFonts w:ascii="Arial" w:hAnsi="Arial" w:cs="Arial"/>
                <w:b/>
                <w:bCs/>
                <w:smallCaps/>
                <w:sz w:val="10"/>
                <w:lang w:val="id-ID"/>
              </w:rPr>
            </w:pPr>
            <w:r w:rsidRPr="007C596C">
              <w:rPr>
                <w:rFonts w:ascii="Arial" w:hAnsi="Arial" w:cs="Arial"/>
                <w:b/>
                <w:bCs/>
                <w:smallCaps/>
                <w:sz w:val="18"/>
                <w:lang w:val="id-ID"/>
              </w:rPr>
              <w:softHyphen/>
            </w:r>
            <w:r w:rsidRPr="007C596C">
              <w:rPr>
                <w:rFonts w:ascii="Arial" w:hAnsi="Arial" w:cs="Arial"/>
                <w:b/>
                <w:bCs/>
                <w:smallCaps/>
                <w:sz w:val="18"/>
                <w:lang w:val="id-ID"/>
              </w:rPr>
              <w:softHyphen/>
            </w:r>
            <w:r w:rsidRPr="007C596C">
              <w:rPr>
                <w:rFonts w:ascii="Arial" w:hAnsi="Arial" w:cs="Arial"/>
                <w:b/>
                <w:bCs/>
                <w:smallCaps/>
                <w:sz w:val="18"/>
                <w:lang w:val="id-ID"/>
              </w:rPr>
              <w:softHyphen/>
            </w:r>
          </w:p>
        </w:tc>
        <w:tc>
          <w:tcPr>
            <w:tcW w:w="7020" w:type="dxa"/>
            <w:tcBorders>
              <w:top w:val="single" w:sz="4" w:space="0" w:color="auto"/>
              <w:left w:val="single" w:sz="4" w:space="0" w:color="auto"/>
              <w:bottom w:val="single" w:sz="4" w:space="0" w:color="auto"/>
              <w:right w:val="single" w:sz="4" w:space="0" w:color="auto"/>
            </w:tcBorders>
            <w:vAlign w:val="center"/>
          </w:tcPr>
          <w:p w14:paraId="61ED36A2" w14:textId="77777777" w:rsidR="002A2C5C" w:rsidRPr="007C596C" w:rsidRDefault="00247949" w:rsidP="007C596C">
            <w:pPr>
              <w:ind w:left="72"/>
              <w:rPr>
                <w:rFonts w:ascii="Arial" w:hAnsi="Arial" w:cs="Arial"/>
                <w:sz w:val="18"/>
                <w:lang w:val="af-ZA"/>
              </w:rPr>
            </w:pPr>
            <w:r w:rsidRPr="007C596C">
              <w:rPr>
                <w:rFonts w:ascii="Arial" w:hAnsi="Arial" w:cs="Arial"/>
                <w:sz w:val="18"/>
                <w:lang w:val="af-ZA"/>
              </w:rPr>
              <w:t>Indonesian</w:t>
            </w:r>
          </w:p>
        </w:tc>
      </w:tr>
      <w:tr w:rsidR="002A2C5C" w14:paraId="419D31CD" w14:textId="77777777" w:rsidTr="005E417E">
        <w:tblPrEx>
          <w:tblBorders>
            <w:insideH w:val="none" w:sz="0" w:space="0" w:color="auto"/>
            <w:insideV w:val="none" w:sz="0" w:space="0" w:color="auto"/>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vAlign w:val="center"/>
          </w:tcPr>
          <w:p w14:paraId="49F42D4A" w14:textId="77777777" w:rsidR="00436E85" w:rsidRPr="007C596C" w:rsidRDefault="00436E85" w:rsidP="00436E85">
            <w:pPr>
              <w:rPr>
                <w:rFonts w:ascii="Arial" w:hAnsi="Arial" w:cs="Arial"/>
                <w:b/>
                <w:bCs/>
                <w:smallCaps/>
                <w:sz w:val="10"/>
                <w:lang w:val="id-ID"/>
              </w:rPr>
            </w:pPr>
          </w:p>
          <w:p w14:paraId="377A4EBE" w14:textId="77777777" w:rsidR="002A2C5C" w:rsidRPr="007C596C" w:rsidRDefault="00247949" w:rsidP="00436E85">
            <w:pPr>
              <w:rPr>
                <w:rFonts w:ascii="Arial" w:hAnsi="Arial" w:cs="Arial"/>
                <w:b/>
                <w:bCs/>
                <w:smallCaps/>
                <w:sz w:val="18"/>
                <w:lang w:val="id-ID"/>
              </w:rPr>
            </w:pPr>
            <w:r w:rsidRPr="007C596C">
              <w:rPr>
                <w:rFonts w:ascii="Arial" w:hAnsi="Arial" w:cs="Arial"/>
                <w:b/>
                <w:bCs/>
                <w:smallCaps/>
                <w:sz w:val="18"/>
                <w:lang w:val="af-ZA"/>
              </w:rPr>
              <w:t>Language Skills:</w:t>
            </w:r>
          </w:p>
          <w:p w14:paraId="6A2BA736" w14:textId="77777777" w:rsidR="00436E85" w:rsidRPr="007C596C" w:rsidRDefault="00436E85" w:rsidP="00436E85">
            <w:pPr>
              <w:rPr>
                <w:rFonts w:ascii="Arial" w:hAnsi="Arial" w:cs="Arial"/>
                <w:b/>
                <w:bCs/>
                <w:smallCaps/>
                <w:sz w:val="10"/>
                <w:lang w:val="id-ID"/>
              </w:rPr>
            </w:pPr>
          </w:p>
        </w:tc>
        <w:tc>
          <w:tcPr>
            <w:tcW w:w="7020" w:type="dxa"/>
            <w:tcBorders>
              <w:top w:val="single" w:sz="4" w:space="0" w:color="auto"/>
              <w:left w:val="single" w:sz="4" w:space="0" w:color="auto"/>
              <w:bottom w:val="single" w:sz="4" w:space="0" w:color="auto"/>
              <w:right w:val="single" w:sz="4" w:space="0" w:color="auto"/>
            </w:tcBorders>
            <w:vAlign w:val="center"/>
          </w:tcPr>
          <w:p w14:paraId="27BABACE" w14:textId="77777777" w:rsidR="002A2C5C" w:rsidRPr="007C596C" w:rsidRDefault="00247949" w:rsidP="007C596C">
            <w:pPr>
              <w:ind w:left="72"/>
              <w:rPr>
                <w:rFonts w:ascii="Arial" w:hAnsi="Arial" w:cs="Arial"/>
                <w:sz w:val="18"/>
                <w:lang w:val="af-ZA"/>
              </w:rPr>
            </w:pPr>
            <w:r w:rsidRPr="007C596C">
              <w:rPr>
                <w:rFonts w:ascii="Arial" w:hAnsi="Arial" w:cs="Arial"/>
                <w:sz w:val="18"/>
                <w:lang w:val="af-ZA"/>
              </w:rPr>
              <w:t>Indonesia</w:t>
            </w:r>
            <w:r w:rsidR="008A24BF">
              <w:rPr>
                <w:rFonts w:ascii="Arial" w:hAnsi="Arial" w:cs="Arial"/>
                <w:sz w:val="18"/>
                <w:lang w:val="af-ZA"/>
              </w:rPr>
              <w:t>n</w:t>
            </w:r>
            <w:r w:rsidRPr="007C596C">
              <w:rPr>
                <w:rFonts w:ascii="Arial" w:hAnsi="Arial" w:cs="Arial"/>
                <w:sz w:val="18"/>
                <w:lang w:val="af-ZA"/>
              </w:rPr>
              <w:t xml:space="preserve"> and English</w:t>
            </w:r>
          </w:p>
        </w:tc>
      </w:tr>
      <w:tr w:rsidR="002A2C5C" w14:paraId="4652926E" w14:textId="77777777" w:rsidTr="005E417E">
        <w:tblPrEx>
          <w:tblBorders>
            <w:insideH w:val="none" w:sz="0" w:space="0" w:color="auto"/>
            <w:insideV w:val="none" w:sz="0" w:space="0" w:color="auto"/>
          </w:tblBorders>
          <w:tblLook w:val="0000" w:firstRow="0" w:lastRow="0" w:firstColumn="0" w:lastColumn="0" w:noHBand="0" w:noVBand="0"/>
        </w:tblPrEx>
        <w:trPr>
          <w:cantSplit/>
        </w:trPr>
        <w:tc>
          <w:tcPr>
            <w:tcW w:w="9180" w:type="dxa"/>
            <w:gridSpan w:val="2"/>
            <w:tcBorders>
              <w:top w:val="single" w:sz="4" w:space="0" w:color="auto"/>
              <w:left w:val="single" w:sz="4" w:space="0" w:color="auto"/>
              <w:bottom w:val="single" w:sz="4" w:space="0" w:color="auto"/>
              <w:right w:val="single" w:sz="4" w:space="0" w:color="auto"/>
            </w:tcBorders>
            <w:shd w:val="clear" w:color="auto" w:fill="002060"/>
          </w:tcPr>
          <w:p w14:paraId="468C4B75" w14:textId="77777777" w:rsidR="005E7D51" w:rsidRPr="007C596C" w:rsidRDefault="005E7D51">
            <w:pPr>
              <w:rPr>
                <w:rFonts w:ascii="Arial" w:hAnsi="Arial" w:cs="Arial"/>
                <w:b/>
                <w:bCs/>
                <w:smallCaps/>
                <w:sz w:val="10"/>
                <w:lang w:val="id-ID"/>
              </w:rPr>
            </w:pPr>
          </w:p>
          <w:p w14:paraId="0F379402" w14:textId="6B43D77A" w:rsidR="002A2C5C" w:rsidRPr="007C596C" w:rsidRDefault="00436E85">
            <w:pPr>
              <w:rPr>
                <w:rFonts w:ascii="Arial" w:hAnsi="Arial" w:cs="Arial"/>
                <w:b/>
                <w:bCs/>
                <w:smallCaps/>
                <w:sz w:val="18"/>
                <w:lang w:val="id-ID"/>
              </w:rPr>
            </w:pPr>
            <w:r w:rsidRPr="007C596C">
              <w:rPr>
                <w:rFonts w:ascii="Arial" w:hAnsi="Arial" w:cs="Arial"/>
                <w:b/>
                <w:bCs/>
                <w:smallCaps/>
                <w:sz w:val="18"/>
                <w:lang w:val="af-ZA"/>
              </w:rPr>
              <w:t>Work Experience</w:t>
            </w:r>
            <w:r w:rsidR="004E70F7">
              <w:rPr>
                <w:rFonts w:ascii="Arial" w:hAnsi="Arial" w:cs="Arial"/>
                <w:b/>
                <w:bCs/>
                <w:smallCaps/>
                <w:sz w:val="18"/>
                <w:lang w:val="af-ZA"/>
              </w:rPr>
              <w:t xml:space="preserve"> </w:t>
            </w:r>
          </w:p>
          <w:p w14:paraId="6235D5A9" w14:textId="77777777" w:rsidR="005E7D51" w:rsidRPr="007C596C" w:rsidRDefault="005E7D51">
            <w:pPr>
              <w:rPr>
                <w:rFonts w:ascii="Arial" w:hAnsi="Arial" w:cs="Arial"/>
                <w:b/>
                <w:bCs/>
                <w:sz w:val="10"/>
                <w:lang w:val="id-ID"/>
              </w:rPr>
            </w:pPr>
          </w:p>
        </w:tc>
      </w:tr>
      <w:tr w:rsidR="009F4A22" w14:paraId="065DA455" w14:textId="77777777" w:rsidTr="003A2EBC">
        <w:tblPrEx>
          <w:tblLook w:val="0000" w:firstRow="0" w:lastRow="0" w:firstColumn="0" w:lastColumn="0" w:noHBand="0" w:noVBand="0"/>
        </w:tblPrEx>
        <w:trPr>
          <w:trHeight w:val="1160"/>
        </w:trPr>
        <w:tc>
          <w:tcPr>
            <w:tcW w:w="2160" w:type="dxa"/>
            <w:tcBorders>
              <w:top w:val="single" w:sz="4" w:space="0" w:color="auto"/>
              <w:left w:val="single" w:sz="4" w:space="0" w:color="auto"/>
              <w:bottom w:val="single" w:sz="4" w:space="0" w:color="auto"/>
              <w:right w:val="single" w:sz="4" w:space="0" w:color="auto"/>
            </w:tcBorders>
          </w:tcPr>
          <w:p w14:paraId="68C85E39" w14:textId="77777777" w:rsidR="009F4A22" w:rsidRPr="00D0426C" w:rsidRDefault="009F4A22" w:rsidP="009F4A22">
            <w:pPr>
              <w:spacing w:line="264" w:lineRule="auto"/>
              <w:jc w:val="both"/>
              <w:rPr>
                <w:rFonts w:ascii="Arial" w:hAnsi="Arial" w:cs="Arial"/>
                <w:b/>
                <w:sz w:val="10"/>
                <w:szCs w:val="10"/>
              </w:rPr>
            </w:pPr>
          </w:p>
          <w:p w14:paraId="69D3AFDC" w14:textId="063C45D7" w:rsidR="009F4A22" w:rsidRDefault="009F4A22" w:rsidP="009F4A22">
            <w:pPr>
              <w:spacing w:line="264" w:lineRule="auto"/>
              <w:jc w:val="both"/>
              <w:rPr>
                <w:rFonts w:ascii="Arial" w:hAnsi="Arial" w:cs="Arial"/>
                <w:b/>
                <w:smallCaps/>
                <w:sz w:val="18"/>
                <w:szCs w:val="18"/>
              </w:rPr>
            </w:pPr>
            <w:r>
              <w:rPr>
                <w:rFonts w:ascii="Arial" w:hAnsi="Arial" w:cs="Arial"/>
                <w:b/>
                <w:smallCaps/>
                <w:sz w:val="18"/>
                <w:szCs w:val="18"/>
              </w:rPr>
              <w:t>2014</w:t>
            </w:r>
            <w:r w:rsidRPr="002E5D1B">
              <w:rPr>
                <w:rFonts w:ascii="Arial" w:hAnsi="Arial" w:cs="Arial"/>
                <w:b/>
                <w:smallCaps/>
                <w:sz w:val="18"/>
                <w:szCs w:val="18"/>
              </w:rPr>
              <w:t xml:space="preserve"> </w:t>
            </w:r>
            <w:r w:rsidR="003675FC">
              <w:rPr>
                <w:rFonts w:ascii="Arial" w:hAnsi="Arial" w:cs="Arial"/>
                <w:b/>
                <w:smallCaps/>
                <w:sz w:val="18"/>
                <w:szCs w:val="18"/>
              </w:rPr>
              <w:t>–</w:t>
            </w:r>
            <w:r w:rsidRPr="002E5D1B">
              <w:rPr>
                <w:rFonts w:ascii="Arial" w:hAnsi="Arial" w:cs="Arial"/>
                <w:b/>
                <w:smallCaps/>
                <w:sz w:val="18"/>
                <w:szCs w:val="18"/>
              </w:rPr>
              <w:t xml:space="preserve"> Present</w:t>
            </w:r>
            <w:r w:rsidR="003675FC">
              <w:rPr>
                <w:rFonts w:ascii="Arial" w:hAnsi="Arial" w:cs="Arial"/>
                <w:b/>
                <w:smallCaps/>
                <w:sz w:val="18"/>
                <w:szCs w:val="18"/>
              </w:rPr>
              <w:t xml:space="preserve"> </w:t>
            </w:r>
          </w:p>
          <w:p w14:paraId="790E6E20" w14:textId="77777777" w:rsidR="009F4A22" w:rsidRPr="005B1545" w:rsidRDefault="009F4A22" w:rsidP="009F4A22">
            <w:pPr>
              <w:rPr>
                <w:rFonts w:ascii="Arial" w:hAnsi="Arial" w:cs="Arial"/>
                <w:sz w:val="18"/>
                <w:szCs w:val="18"/>
              </w:rPr>
            </w:pPr>
          </w:p>
          <w:p w14:paraId="39A3AE59" w14:textId="77777777" w:rsidR="009F4A22" w:rsidRPr="005B1545" w:rsidRDefault="009F4A22" w:rsidP="009F4A22">
            <w:pPr>
              <w:rPr>
                <w:rFonts w:ascii="Arial" w:hAnsi="Arial" w:cs="Arial"/>
                <w:sz w:val="18"/>
                <w:szCs w:val="18"/>
              </w:rPr>
            </w:pPr>
          </w:p>
          <w:p w14:paraId="57645563" w14:textId="77777777" w:rsidR="009F4A22" w:rsidRPr="005B1545" w:rsidRDefault="009F4A22" w:rsidP="009F4A22">
            <w:pPr>
              <w:rPr>
                <w:rFonts w:ascii="Arial" w:hAnsi="Arial" w:cs="Arial"/>
                <w:sz w:val="18"/>
                <w:szCs w:val="18"/>
              </w:rPr>
            </w:pPr>
          </w:p>
          <w:p w14:paraId="3F2C94A0" w14:textId="77777777" w:rsidR="009F4A22" w:rsidRPr="005B1545" w:rsidRDefault="009F4A22" w:rsidP="009F4A22">
            <w:pPr>
              <w:rPr>
                <w:rFonts w:ascii="Arial" w:hAnsi="Arial" w:cs="Arial"/>
                <w:sz w:val="18"/>
                <w:szCs w:val="18"/>
              </w:rPr>
            </w:pPr>
          </w:p>
          <w:p w14:paraId="2C4E99EA" w14:textId="77777777" w:rsidR="009F4A22" w:rsidRPr="005B1545" w:rsidRDefault="009F4A22" w:rsidP="009F4A22">
            <w:pPr>
              <w:rPr>
                <w:rFonts w:ascii="Arial" w:hAnsi="Arial" w:cs="Arial"/>
                <w:sz w:val="18"/>
                <w:szCs w:val="18"/>
              </w:rPr>
            </w:pPr>
          </w:p>
          <w:p w14:paraId="5E736D0A" w14:textId="77777777" w:rsidR="009F4A22" w:rsidRPr="005B1545" w:rsidRDefault="009F4A22" w:rsidP="009F4A22">
            <w:pPr>
              <w:rPr>
                <w:rFonts w:ascii="Arial" w:hAnsi="Arial" w:cs="Arial"/>
                <w:sz w:val="18"/>
                <w:szCs w:val="18"/>
              </w:rPr>
            </w:pPr>
          </w:p>
          <w:p w14:paraId="0D2AF9F8" w14:textId="77777777" w:rsidR="009F4A22" w:rsidRPr="005B1545" w:rsidRDefault="009F4A22" w:rsidP="009F4A22">
            <w:pPr>
              <w:rPr>
                <w:rFonts w:ascii="Arial" w:hAnsi="Arial" w:cs="Arial"/>
                <w:sz w:val="18"/>
                <w:szCs w:val="18"/>
              </w:rPr>
            </w:pPr>
          </w:p>
          <w:p w14:paraId="44C450B2" w14:textId="77777777" w:rsidR="009F4A22" w:rsidRPr="005B1545" w:rsidRDefault="009F4A22" w:rsidP="009F4A22">
            <w:pPr>
              <w:rPr>
                <w:rFonts w:ascii="Arial" w:hAnsi="Arial" w:cs="Arial"/>
                <w:sz w:val="18"/>
                <w:szCs w:val="18"/>
              </w:rPr>
            </w:pPr>
          </w:p>
          <w:p w14:paraId="3A589FF2" w14:textId="77777777" w:rsidR="009F4A22" w:rsidRPr="005B1545" w:rsidRDefault="009F4A22" w:rsidP="009F4A22">
            <w:pPr>
              <w:rPr>
                <w:rFonts w:ascii="Arial" w:hAnsi="Arial" w:cs="Arial"/>
                <w:sz w:val="18"/>
                <w:szCs w:val="18"/>
              </w:rPr>
            </w:pPr>
          </w:p>
          <w:p w14:paraId="74FCD43D" w14:textId="77777777" w:rsidR="009F4A22" w:rsidRPr="005B1545" w:rsidRDefault="009F4A22" w:rsidP="009F4A22">
            <w:pPr>
              <w:rPr>
                <w:rFonts w:ascii="Arial" w:hAnsi="Arial" w:cs="Arial"/>
                <w:sz w:val="18"/>
                <w:szCs w:val="18"/>
              </w:rPr>
            </w:pPr>
          </w:p>
          <w:p w14:paraId="22671362" w14:textId="77777777" w:rsidR="009F4A22" w:rsidRPr="005B1545" w:rsidRDefault="009F4A22" w:rsidP="009F4A22">
            <w:pPr>
              <w:rPr>
                <w:rFonts w:ascii="Arial" w:hAnsi="Arial" w:cs="Arial"/>
                <w:sz w:val="18"/>
                <w:szCs w:val="18"/>
              </w:rPr>
            </w:pPr>
          </w:p>
          <w:p w14:paraId="675F6DBE" w14:textId="77777777" w:rsidR="009F4A22" w:rsidRPr="005B1545" w:rsidRDefault="009F4A22" w:rsidP="009F4A22">
            <w:pPr>
              <w:rPr>
                <w:rFonts w:ascii="Arial" w:hAnsi="Arial" w:cs="Arial"/>
                <w:sz w:val="18"/>
                <w:szCs w:val="18"/>
              </w:rPr>
            </w:pPr>
          </w:p>
          <w:p w14:paraId="5301F561" w14:textId="77777777" w:rsidR="009F4A22" w:rsidRPr="005B1545" w:rsidRDefault="009F4A22" w:rsidP="009F4A22">
            <w:pPr>
              <w:rPr>
                <w:rFonts w:ascii="Arial" w:hAnsi="Arial" w:cs="Arial"/>
                <w:sz w:val="18"/>
                <w:szCs w:val="18"/>
              </w:rPr>
            </w:pPr>
          </w:p>
          <w:p w14:paraId="0D2F5E89" w14:textId="77777777" w:rsidR="009F4A22" w:rsidRPr="005B1545" w:rsidRDefault="009F4A22" w:rsidP="009F4A22">
            <w:pPr>
              <w:rPr>
                <w:rFonts w:ascii="Arial" w:hAnsi="Arial" w:cs="Arial"/>
                <w:sz w:val="18"/>
                <w:szCs w:val="18"/>
              </w:rPr>
            </w:pPr>
          </w:p>
          <w:p w14:paraId="6D4A6E81" w14:textId="77777777" w:rsidR="009F4A22" w:rsidRPr="005B1545" w:rsidRDefault="009F4A22" w:rsidP="009F4A22">
            <w:pPr>
              <w:rPr>
                <w:rFonts w:ascii="Arial" w:hAnsi="Arial" w:cs="Arial"/>
                <w:sz w:val="18"/>
                <w:szCs w:val="18"/>
              </w:rPr>
            </w:pPr>
          </w:p>
          <w:p w14:paraId="5B7E48AB" w14:textId="77777777" w:rsidR="009F4A22" w:rsidRPr="005B1545" w:rsidRDefault="009F4A22" w:rsidP="009F4A22">
            <w:pPr>
              <w:rPr>
                <w:rFonts w:ascii="Arial" w:hAnsi="Arial" w:cs="Arial"/>
                <w:sz w:val="18"/>
                <w:szCs w:val="18"/>
              </w:rPr>
            </w:pPr>
          </w:p>
          <w:p w14:paraId="16B6A110" w14:textId="77777777" w:rsidR="009F4A22" w:rsidRPr="005B1545" w:rsidRDefault="009F4A22" w:rsidP="009F4A22">
            <w:pPr>
              <w:rPr>
                <w:rFonts w:ascii="Arial" w:hAnsi="Arial" w:cs="Arial"/>
                <w:sz w:val="18"/>
                <w:szCs w:val="18"/>
              </w:rPr>
            </w:pPr>
          </w:p>
          <w:p w14:paraId="774DAD96" w14:textId="77777777" w:rsidR="009F4A22" w:rsidRPr="005B1545" w:rsidRDefault="009F4A22" w:rsidP="009F4A22">
            <w:pPr>
              <w:rPr>
                <w:rFonts w:ascii="Arial" w:hAnsi="Arial" w:cs="Arial"/>
                <w:sz w:val="18"/>
                <w:szCs w:val="18"/>
              </w:rPr>
            </w:pPr>
          </w:p>
          <w:p w14:paraId="7A095E55" w14:textId="77777777" w:rsidR="009F4A22" w:rsidRPr="005B1545" w:rsidRDefault="009F4A22" w:rsidP="009F4A22">
            <w:pPr>
              <w:rPr>
                <w:rFonts w:ascii="Arial" w:hAnsi="Arial" w:cs="Arial"/>
                <w:sz w:val="18"/>
                <w:szCs w:val="18"/>
              </w:rPr>
            </w:pPr>
          </w:p>
          <w:p w14:paraId="5474D30C" w14:textId="77777777" w:rsidR="009F4A22" w:rsidRPr="005B1545" w:rsidRDefault="009F4A22" w:rsidP="009F4A22">
            <w:pPr>
              <w:rPr>
                <w:rFonts w:ascii="Arial" w:hAnsi="Arial" w:cs="Arial"/>
                <w:sz w:val="18"/>
                <w:szCs w:val="18"/>
              </w:rPr>
            </w:pPr>
          </w:p>
          <w:p w14:paraId="20D14A0E" w14:textId="77777777" w:rsidR="009F4A22" w:rsidRPr="005B1545" w:rsidRDefault="009F4A22" w:rsidP="009F4A22">
            <w:pPr>
              <w:rPr>
                <w:rFonts w:ascii="Arial" w:hAnsi="Arial" w:cs="Arial"/>
                <w:sz w:val="18"/>
                <w:szCs w:val="18"/>
              </w:rPr>
            </w:pPr>
          </w:p>
          <w:p w14:paraId="1812B4A2" w14:textId="77777777" w:rsidR="009F4A22" w:rsidRPr="005B1545" w:rsidRDefault="009F4A22" w:rsidP="009F4A22">
            <w:pPr>
              <w:rPr>
                <w:rFonts w:ascii="Arial" w:hAnsi="Arial" w:cs="Arial"/>
                <w:sz w:val="18"/>
                <w:szCs w:val="18"/>
              </w:rPr>
            </w:pPr>
          </w:p>
          <w:p w14:paraId="20A87183" w14:textId="77777777" w:rsidR="009F4A22" w:rsidRPr="005B1545" w:rsidRDefault="009F4A22" w:rsidP="009F4A22">
            <w:pPr>
              <w:rPr>
                <w:rFonts w:ascii="Arial" w:hAnsi="Arial" w:cs="Arial"/>
                <w:sz w:val="18"/>
                <w:szCs w:val="18"/>
              </w:rPr>
            </w:pPr>
          </w:p>
          <w:p w14:paraId="79176D14" w14:textId="77777777" w:rsidR="009F4A22" w:rsidRPr="005B1545" w:rsidRDefault="009F4A22" w:rsidP="009F4A22">
            <w:pPr>
              <w:rPr>
                <w:rFonts w:ascii="Arial" w:hAnsi="Arial" w:cs="Arial"/>
                <w:sz w:val="18"/>
                <w:szCs w:val="18"/>
              </w:rPr>
            </w:pPr>
          </w:p>
          <w:p w14:paraId="12C084D7" w14:textId="77777777" w:rsidR="009F4A22" w:rsidRPr="005B1545" w:rsidRDefault="009F4A22" w:rsidP="009F4A22">
            <w:pPr>
              <w:rPr>
                <w:rFonts w:ascii="Arial" w:hAnsi="Arial" w:cs="Arial"/>
                <w:sz w:val="18"/>
                <w:szCs w:val="18"/>
              </w:rPr>
            </w:pPr>
          </w:p>
          <w:p w14:paraId="7EB4E738" w14:textId="77777777" w:rsidR="009F4A22" w:rsidRPr="005B1545" w:rsidRDefault="009F4A22" w:rsidP="009F4A22">
            <w:pPr>
              <w:rPr>
                <w:rFonts w:ascii="Arial" w:hAnsi="Arial" w:cs="Arial"/>
                <w:sz w:val="18"/>
                <w:szCs w:val="18"/>
              </w:rPr>
            </w:pPr>
          </w:p>
          <w:p w14:paraId="7D175B9B" w14:textId="77777777" w:rsidR="009F4A22" w:rsidRPr="005B1545" w:rsidRDefault="009F4A22" w:rsidP="009F4A22">
            <w:pPr>
              <w:rPr>
                <w:rFonts w:ascii="Arial" w:hAnsi="Arial" w:cs="Arial"/>
                <w:sz w:val="18"/>
                <w:szCs w:val="18"/>
              </w:rPr>
            </w:pPr>
          </w:p>
          <w:p w14:paraId="04224AB7" w14:textId="77777777" w:rsidR="009F4A22" w:rsidRPr="005B1545" w:rsidRDefault="009F4A22" w:rsidP="009F4A22">
            <w:pPr>
              <w:rPr>
                <w:rFonts w:ascii="Arial" w:hAnsi="Arial" w:cs="Arial"/>
                <w:sz w:val="18"/>
                <w:szCs w:val="18"/>
              </w:rPr>
            </w:pPr>
          </w:p>
          <w:p w14:paraId="5DCEBEFD" w14:textId="77777777" w:rsidR="009F4A22" w:rsidRPr="005B1545" w:rsidRDefault="009F4A22" w:rsidP="009F4A22">
            <w:pPr>
              <w:jc w:val="right"/>
              <w:rPr>
                <w:rFonts w:ascii="Arial" w:hAnsi="Arial" w:cs="Arial"/>
                <w:sz w:val="18"/>
                <w:szCs w:val="18"/>
              </w:rPr>
            </w:pPr>
          </w:p>
        </w:tc>
        <w:tc>
          <w:tcPr>
            <w:tcW w:w="7020" w:type="dxa"/>
            <w:tcBorders>
              <w:top w:val="single" w:sz="4" w:space="0" w:color="auto"/>
              <w:left w:val="single" w:sz="4" w:space="0" w:color="auto"/>
              <w:right w:val="single" w:sz="4" w:space="0" w:color="auto"/>
            </w:tcBorders>
            <w:vAlign w:val="center"/>
          </w:tcPr>
          <w:p w14:paraId="3D4FC73B" w14:textId="77777777" w:rsidR="00296B6F" w:rsidRPr="00296B6F" w:rsidRDefault="00296B6F" w:rsidP="00296B6F">
            <w:pPr>
              <w:ind w:left="72"/>
              <w:rPr>
                <w:rFonts w:ascii="Arial" w:hAnsi="Arial" w:cs="Arial"/>
                <w:b/>
                <w:smallCaps/>
                <w:sz w:val="10"/>
                <w:szCs w:val="18"/>
                <w:lang w:val="af-ZA"/>
              </w:rPr>
            </w:pPr>
          </w:p>
          <w:p w14:paraId="0F49EA4A" w14:textId="77777777" w:rsidR="009F4A22" w:rsidRPr="000E257B" w:rsidRDefault="009F4A22" w:rsidP="00296B6F">
            <w:pPr>
              <w:spacing w:after="60"/>
              <w:ind w:left="72"/>
              <w:rPr>
                <w:rFonts w:ascii="Arial" w:hAnsi="Arial" w:cs="Arial"/>
                <w:b/>
                <w:smallCaps/>
                <w:sz w:val="18"/>
                <w:szCs w:val="18"/>
              </w:rPr>
            </w:pPr>
            <w:r w:rsidRPr="000E257B">
              <w:rPr>
                <w:rFonts w:ascii="Arial" w:hAnsi="Arial" w:cs="Arial"/>
                <w:b/>
                <w:smallCaps/>
                <w:sz w:val="18"/>
                <w:szCs w:val="18"/>
                <w:lang w:val="af-ZA"/>
              </w:rPr>
              <w:t>Partner</w:t>
            </w:r>
            <w:r w:rsidRPr="000E257B">
              <w:rPr>
                <w:rFonts w:ascii="Arial" w:hAnsi="Arial" w:cs="Arial"/>
                <w:sz w:val="18"/>
                <w:szCs w:val="18"/>
                <w:lang w:val="af-ZA"/>
              </w:rPr>
              <w:t xml:space="preserve"> </w:t>
            </w:r>
            <w:r w:rsidRPr="000E257B">
              <w:rPr>
                <w:rFonts w:ascii="Arial" w:hAnsi="Arial" w:cs="Arial"/>
                <w:b/>
                <w:smallCaps/>
                <w:sz w:val="18"/>
                <w:szCs w:val="18"/>
              </w:rPr>
              <w:t>– HHR Lawyers</w:t>
            </w:r>
          </w:p>
          <w:p w14:paraId="21ADCFCF" w14:textId="77777777" w:rsidR="009F4A22" w:rsidRPr="003A2EBC" w:rsidRDefault="009F4A22" w:rsidP="009F4A22">
            <w:pPr>
              <w:spacing w:line="264" w:lineRule="auto"/>
              <w:ind w:left="72"/>
              <w:jc w:val="both"/>
              <w:rPr>
                <w:rFonts w:ascii="Arial" w:hAnsi="Arial" w:cs="Arial"/>
                <w:sz w:val="10"/>
                <w:szCs w:val="18"/>
              </w:rPr>
            </w:pPr>
          </w:p>
          <w:p w14:paraId="2409F126" w14:textId="24D6A8BF" w:rsidR="009F4A22" w:rsidRPr="000E257B" w:rsidRDefault="009F4A22" w:rsidP="009F4A22">
            <w:pPr>
              <w:spacing w:line="264" w:lineRule="auto"/>
              <w:ind w:left="72"/>
              <w:jc w:val="both"/>
              <w:rPr>
                <w:rFonts w:ascii="Arial" w:hAnsi="Arial" w:cs="Arial"/>
                <w:sz w:val="18"/>
                <w:szCs w:val="18"/>
                <w:lang w:val="id-ID"/>
              </w:rPr>
            </w:pPr>
            <w:r w:rsidRPr="000E257B">
              <w:rPr>
                <w:rFonts w:ascii="Arial" w:hAnsi="Arial" w:cs="Arial"/>
                <w:sz w:val="18"/>
                <w:szCs w:val="18"/>
              </w:rPr>
              <w:t xml:space="preserve">Milanti </w:t>
            </w:r>
            <w:r w:rsidRPr="000E257B">
              <w:rPr>
                <w:rFonts w:ascii="Arial" w:hAnsi="Arial" w:cs="Arial"/>
                <w:sz w:val="18"/>
                <w:szCs w:val="18"/>
                <w:lang w:val="en-GB"/>
              </w:rPr>
              <w:t xml:space="preserve">graduated from </w:t>
            </w:r>
            <w:r w:rsidRPr="000E257B">
              <w:rPr>
                <w:rFonts w:ascii="Arial" w:hAnsi="Arial" w:cs="Arial"/>
                <w:sz w:val="18"/>
                <w:szCs w:val="18"/>
                <w:lang w:val="id-ID"/>
              </w:rPr>
              <w:t xml:space="preserve">Faculty of Law, </w:t>
            </w:r>
            <w:r w:rsidRPr="000E257B">
              <w:rPr>
                <w:rFonts w:ascii="Arial" w:hAnsi="Arial" w:cs="Arial"/>
                <w:sz w:val="18"/>
                <w:szCs w:val="18"/>
                <w:lang w:val="en-GB"/>
              </w:rPr>
              <w:t>University</w:t>
            </w:r>
            <w:r w:rsidRPr="000E257B">
              <w:rPr>
                <w:rFonts w:ascii="Arial" w:hAnsi="Arial" w:cs="Arial"/>
                <w:sz w:val="18"/>
                <w:szCs w:val="18"/>
                <w:lang w:val="id-ID"/>
              </w:rPr>
              <w:t xml:space="preserve"> of</w:t>
            </w:r>
            <w:r w:rsidRPr="000E257B">
              <w:rPr>
                <w:rFonts w:ascii="Arial" w:hAnsi="Arial" w:cs="Arial"/>
                <w:sz w:val="18"/>
                <w:szCs w:val="18"/>
                <w:lang w:val="en-GB"/>
              </w:rPr>
              <w:t xml:space="preserve"> Atma Jaya,</w:t>
            </w:r>
            <w:r w:rsidR="000F45EB">
              <w:rPr>
                <w:rFonts w:ascii="Arial" w:hAnsi="Arial" w:cs="Arial"/>
                <w:sz w:val="18"/>
                <w:szCs w:val="18"/>
                <w:lang w:val="en-GB"/>
              </w:rPr>
              <w:t xml:space="preserve"> Jakarta,</w:t>
            </w:r>
            <w:r w:rsidRPr="000E257B">
              <w:rPr>
                <w:rFonts w:ascii="Arial" w:hAnsi="Arial" w:cs="Arial"/>
                <w:sz w:val="18"/>
                <w:szCs w:val="18"/>
                <w:lang w:val="en-GB"/>
              </w:rPr>
              <w:t xml:space="preserve"> Indonesia, in 2007. Prior to joining HHR Lawyers in 2014, she had worked with other reputable law firms and multinational financial institutions in Indonesia. She </w:t>
            </w:r>
            <w:r>
              <w:rPr>
                <w:rFonts w:ascii="Arial" w:hAnsi="Arial" w:cs="Arial"/>
                <w:sz w:val="18"/>
                <w:szCs w:val="18"/>
                <w:lang w:val="en-GB"/>
              </w:rPr>
              <w:t xml:space="preserve">joined HHR Lawyers as an associate and </w:t>
            </w:r>
            <w:r w:rsidRPr="000E257B">
              <w:rPr>
                <w:rFonts w:ascii="Arial" w:hAnsi="Arial" w:cs="Arial"/>
                <w:sz w:val="18"/>
                <w:szCs w:val="18"/>
                <w:lang w:val="en-GB"/>
              </w:rPr>
              <w:t xml:space="preserve">promoted as a partner of HHR Lawyers in 2019. </w:t>
            </w:r>
          </w:p>
          <w:p w14:paraId="2C74F415" w14:textId="77777777" w:rsidR="009F4A22" w:rsidRPr="003A2EBC" w:rsidRDefault="009F4A22" w:rsidP="009F4A22">
            <w:pPr>
              <w:spacing w:line="264" w:lineRule="auto"/>
              <w:ind w:left="72"/>
              <w:jc w:val="both"/>
              <w:rPr>
                <w:rFonts w:ascii="Arial" w:hAnsi="Arial" w:cs="Arial"/>
                <w:sz w:val="10"/>
                <w:szCs w:val="18"/>
                <w:lang w:val="id-ID"/>
              </w:rPr>
            </w:pPr>
          </w:p>
          <w:p w14:paraId="1DC482BA" w14:textId="330EE09B" w:rsidR="009F4A22" w:rsidRPr="000E257B" w:rsidRDefault="009F4A22" w:rsidP="009F4A22">
            <w:pPr>
              <w:spacing w:line="264" w:lineRule="auto"/>
              <w:ind w:left="72"/>
              <w:jc w:val="both"/>
              <w:rPr>
                <w:rFonts w:ascii="Verdana" w:hAnsi="Verdana" w:cs="Arial"/>
                <w:color w:val="333333"/>
                <w:sz w:val="18"/>
                <w:szCs w:val="18"/>
              </w:rPr>
            </w:pPr>
            <w:r w:rsidRPr="000E257B">
              <w:rPr>
                <w:rFonts w:ascii="Arial" w:hAnsi="Arial" w:cs="Arial"/>
                <w:sz w:val="18"/>
                <w:szCs w:val="18"/>
                <w:lang w:val="en-GB"/>
              </w:rPr>
              <w:t>She has developed an extensive practice in commercial business law practice and involved in various complex and cross-border transactions. Her areas of specialization cover:</w:t>
            </w:r>
            <w:r w:rsidRPr="000E257B">
              <w:rPr>
                <w:rFonts w:ascii="Verdana" w:hAnsi="Verdana" w:cs="Arial"/>
                <w:color w:val="333333"/>
                <w:sz w:val="18"/>
                <w:szCs w:val="18"/>
              </w:rPr>
              <w:t xml:space="preserve"> </w:t>
            </w:r>
            <w:r w:rsidR="00A94333" w:rsidRPr="00A94333">
              <w:rPr>
                <w:rFonts w:ascii="Arial" w:hAnsi="Arial" w:cs="Arial"/>
                <w:sz w:val="18"/>
                <w:szCs w:val="18"/>
                <w:lang w:val="id-ID"/>
              </w:rPr>
              <w:t xml:space="preserve">(i) Corporate, Investment and M&amp;A, (ii) </w:t>
            </w:r>
            <w:r w:rsidR="004157B5" w:rsidRPr="004157B5">
              <w:rPr>
                <w:rFonts w:ascii="Arial" w:hAnsi="Arial" w:cs="Arial"/>
                <w:sz w:val="18"/>
                <w:szCs w:val="18"/>
                <w:lang w:val="id-ID"/>
              </w:rPr>
              <w:t>Manpower and Industrial Relations</w:t>
            </w:r>
            <w:r w:rsidR="00A94333" w:rsidRPr="00A94333">
              <w:rPr>
                <w:rFonts w:ascii="Arial" w:hAnsi="Arial" w:cs="Arial"/>
                <w:sz w:val="18"/>
                <w:szCs w:val="18"/>
                <w:lang w:val="id-ID"/>
              </w:rPr>
              <w:t xml:space="preserve">, (iii) </w:t>
            </w:r>
            <w:r w:rsidR="004157B5" w:rsidRPr="004157B5">
              <w:rPr>
                <w:rFonts w:ascii="Arial" w:hAnsi="Arial" w:cs="Arial"/>
                <w:sz w:val="18"/>
                <w:szCs w:val="18"/>
                <w:lang w:val="id-ID"/>
              </w:rPr>
              <w:t>Technology, Media, Telecommunications &amp; Intellectual Property</w:t>
            </w:r>
            <w:r w:rsidR="00A94333" w:rsidRPr="00A94333">
              <w:rPr>
                <w:rFonts w:ascii="Arial" w:hAnsi="Arial" w:cs="Arial"/>
                <w:sz w:val="18"/>
                <w:szCs w:val="18"/>
                <w:lang w:val="id-ID"/>
              </w:rPr>
              <w:t xml:space="preserve">, and (iv) </w:t>
            </w:r>
            <w:r w:rsidR="004157B5" w:rsidRPr="004157B5">
              <w:rPr>
                <w:rFonts w:ascii="Arial" w:hAnsi="Arial" w:cs="Arial"/>
                <w:sz w:val="18"/>
                <w:szCs w:val="18"/>
                <w:lang w:val="id-ID"/>
              </w:rPr>
              <w:t>Maritime, Aviation &amp; Logistics</w:t>
            </w:r>
            <w:r w:rsidR="004157B5">
              <w:rPr>
                <w:rFonts w:ascii="Arial" w:hAnsi="Arial" w:cs="Arial"/>
                <w:sz w:val="18"/>
                <w:szCs w:val="18"/>
                <w:lang w:val="id-ID"/>
              </w:rPr>
              <w:t>.</w:t>
            </w:r>
          </w:p>
          <w:p w14:paraId="16D7DCC9" w14:textId="77777777" w:rsidR="009F4A22" w:rsidRPr="003A2EBC" w:rsidRDefault="009F4A22" w:rsidP="009F4A22">
            <w:pPr>
              <w:spacing w:line="264" w:lineRule="auto"/>
              <w:ind w:left="72"/>
              <w:jc w:val="both"/>
              <w:rPr>
                <w:rFonts w:ascii="Arial" w:hAnsi="Arial" w:cs="Arial"/>
                <w:sz w:val="10"/>
                <w:szCs w:val="18"/>
              </w:rPr>
            </w:pPr>
          </w:p>
          <w:p w14:paraId="723DBBDF" w14:textId="21033C3B" w:rsidR="009F4A22" w:rsidRPr="000E257B" w:rsidRDefault="009F4A22" w:rsidP="009F4A22">
            <w:pPr>
              <w:spacing w:line="264" w:lineRule="auto"/>
              <w:ind w:left="72"/>
              <w:jc w:val="both"/>
              <w:rPr>
                <w:rFonts w:ascii="Arial" w:hAnsi="Arial" w:cs="Arial"/>
                <w:sz w:val="18"/>
                <w:szCs w:val="18"/>
              </w:rPr>
            </w:pPr>
            <w:r w:rsidRPr="000E257B">
              <w:rPr>
                <w:rFonts w:ascii="Arial" w:hAnsi="Arial" w:cs="Arial"/>
                <w:sz w:val="18"/>
                <w:szCs w:val="18"/>
              </w:rPr>
              <w:t xml:space="preserve">Her </w:t>
            </w:r>
            <w:r w:rsidRPr="000E257B">
              <w:rPr>
                <w:rFonts w:ascii="Arial" w:hAnsi="Arial" w:cs="Arial"/>
                <w:sz w:val="18"/>
                <w:szCs w:val="18"/>
                <w:lang w:val="id-ID"/>
              </w:rPr>
              <w:t xml:space="preserve">particular </w:t>
            </w:r>
            <w:r w:rsidRPr="000E257B">
              <w:rPr>
                <w:rFonts w:ascii="Arial" w:hAnsi="Arial" w:cs="Arial"/>
                <w:sz w:val="18"/>
                <w:szCs w:val="18"/>
              </w:rPr>
              <w:t>experience in structuring legal framework</w:t>
            </w:r>
            <w:r w:rsidRPr="000E257B">
              <w:rPr>
                <w:rFonts w:ascii="Arial" w:hAnsi="Arial" w:cs="Arial"/>
                <w:sz w:val="18"/>
                <w:szCs w:val="18"/>
                <w:lang w:val="id-ID"/>
              </w:rPr>
              <w:t xml:space="preserve">s, providing strategy and preparing transactions documents for a broad range of transactional and transnational projects/cases </w:t>
            </w:r>
            <w:r w:rsidRPr="000E257B">
              <w:rPr>
                <w:rFonts w:ascii="Arial" w:hAnsi="Arial" w:cs="Arial"/>
                <w:sz w:val="18"/>
                <w:szCs w:val="18"/>
              </w:rPr>
              <w:t xml:space="preserve">within the areas of practice mentioned above has led her to handle various types of </w:t>
            </w:r>
            <w:r w:rsidRPr="000E257B">
              <w:rPr>
                <w:rFonts w:ascii="Arial" w:hAnsi="Arial" w:cs="Arial"/>
                <w:sz w:val="18"/>
                <w:szCs w:val="18"/>
                <w:lang w:val="id-ID"/>
              </w:rPr>
              <w:t xml:space="preserve">international and domestic </w:t>
            </w:r>
            <w:r w:rsidRPr="000E257B">
              <w:rPr>
                <w:rFonts w:ascii="Arial" w:hAnsi="Arial" w:cs="Arial"/>
                <w:sz w:val="18"/>
                <w:szCs w:val="18"/>
              </w:rPr>
              <w:t>projects</w:t>
            </w:r>
            <w:r w:rsidRPr="000E257B">
              <w:rPr>
                <w:rFonts w:ascii="Arial" w:hAnsi="Arial" w:cs="Arial"/>
                <w:sz w:val="18"/>
                <w:szCs w:val="18"/>
                <w:lang w:val="id-ID"/>
              </w:rPr>
              <w:t xml:space="preserve"> representing numerous multinational companies and Indonesian conglomerate group of companies in doing their business in Indonesia</w:t>
            </w:r>
            <w:r w:rsidR="00901A4E">
              <w:rPr>
                <w:rFonts w:ascii="Arial" w:hAnsi="Arial" w:cs="Arial"/>
                <w:sz w:val="18"/>
                <w:szCs w:val="18"/>
              </w:rPr>
              <w:t>, that cover the followings:</w:t>
            </w:r>
          </w:p>
          <w:p w14:paraId="455D4456" w14:textId="77777777" w:rsidR="009F4A22" w:rsidRPr="003A2EBC" w:rsidRDefault="009F4A22" w:rsidP="009F4A22">
            <w:pPr>
              <w:spacing w:line="264" w:lineRule="auto"/>
              <w:ind w:left="72"/>
              <w:jc w:val="both"/>
              <w:rPr>
                <w:rFonts w:ascii="Arial" w:hAnsi="Arial" w:cs="Arial"/>
                <w:sz w:val="10"/>
                <w:szCs w:val="18"/>
              </w:rPr>
            </w:pPr>
          </w:p>
          <w:p w14:paraId="2613677E" w14:textId="79A71525" w:rsidR="009F4A22" w:rsidRPr="000E257B" w:rsidRDefault="009F4A22" w:rsidP="00296B6F">
            <w:pPr>
              <w:numPr>
                <w:ilvl w:val="0"/>
                <w:numId w:val="21"/>
              </w:numPr>
              <w:spacing w:line="264" w:lineRule="auto"/>
              <w:ind w:left="342" w:hanging="270"/>
              <w:contextualSpacing/>
              <w:jc w:val="both"/>
              <w:rPr>
                <w:rFonts w:ascii="Arial" w:hAnsi="Arial" w:cs="Arial"/>
                <w:sz w:val="18"/>
                <w:szCs w:val="18"/>
              </w:rPr>
            </w:pPr>
            <w:r w:rsidRPr="000E257B">
              <w:rPr>
                <w:rFonts w:ascii="Arial" w:hAnsi="Arial" w:cs="Arial"/>
                <w:sz w:val="18"/>
                <w:szCs w:val="18"/>
              </w:rPr>
              <w:t xml:space="preserve">In </w:t>
            </w:r>
            <w:r w:rsidRPr="000E257B">
              <w:rPr>
                <w:rFonts w:ascii="Arial" w:hAnsi="Arial" w:cs="Arial"/>
                <w:b/>
                <w:smallCaps/>
                <w:sz w:val="18"/>
                <w:szCs w:val="18"/>
                <w:lang w:val="id-ID"/>
              </w:rPr>
              <w:t>Corporate &amp; Investment</w:t>
            </w:r>
            <w:r w:rsidRPr="000E257B">
              <w:rPr>
                <w:rFonts w:ascii="Arial" w:hAnsi="Arial" w:cs="Arial"/>
                <w:sz w:val="20"/>
                <w:szCs w:val="18"/>
              </w:rPr>
              <w:t xml:space="preserve"> </w:t>
            </w:r>
            <w:r w:rsidRPr="000E257B">
              <w:rPr>
                <w:rFonts w:ascii="Arial" w:hAnsi="Arial" w:cs="Arial"/>
                <w:sz w:val="18"/>
                <w:szCs w:val="18"/>
              </w:rPr>
              <w:t>works, she</w:t>
            </w:r>
            <w:r w:rsidRPr="000E257B">
              <w:rPr>
                <w:rFonts w:ascii="Arial" w:hAnsi="Arial" w:cs="Arial"/>
                <w:sz w:val="18"/>
                <w:szCs w:val="18"/>
                <w:lang w:val="id-ID"/>
              </w:rPr>
              <w:t xml:space="preserve"> </w:t>
            </w:r>
            <w:r w:rsidRPr="000E257B">
              <w:rPr>
                <w:rFonts w:ascii="Arial" w:hAnsi="Arial" w:cs="Arial"/>
                <w:sz w:val="18"/>
                <w:szCs w:val="18"/>
              </w:rPr>
              <w:t xml:space="preserve">has </w:t>
            </w:r>
            <w:r w:rsidRPr="000E257B">
              <w:rPr>
                <w:rFonts w:ascii="Arial" w:hAnsi="Arial" w:cs="Arial"/>
                <w:sz w:val="18"/>
                <w:szCs w:val="18"/>
                <w:lang w:val="id-ID"/>
              </w:rPr>
              <w:t>represented numerous multinational and Indonesian group of companies in all corporate &amp; investments works, e.g.:</w:t>
            </w:r>
            <w:r w:rsidRPr="000E257B">
              <w:rPr>
                <w:rFonts w:ascii="Arial" w:hAnsi="Arial" w:cs="Arial"/>
                <w:sz w:val="18"/>
                <w:szCs w:val="18"/>
              </w:rPr>
              <w:t xml:space="preserve"> (i) setting up companies (domestic as well as foreign investment company)</w:t>
            </w:r>
            <w:r w:rsidR="00575897">
              <w:rPr>
                <w:rFonts w:ascii="Arial" w:hAnsi="Arial" w:cs="Arial"/>
                <w:sz w:val="18"/>
                <w:szCs w:val="18"/>
              </w:rPr>
              <w:t>;</w:t>
            </w:r>
            <w:r w:rsidRPr="000E257B">
              <w:rPr>
                <w:rFonts w:ascii="Arial" w:hAnsi="Arial" w:cs="Arial"/>
                <w:sz w:val="18"/>
                <w:szCs w:val="18"/>
              </w:rPr>
              <w:t xml:space="preserve"> (ii) agency/distribution and franchise matters</w:t>
            </w:r>
            <w:r w:rsidR="00575897">
              <w:rPr>
                <w:rFonts w:ascii="Arial" w:hAnsi="Arial" w:cs="Arial"/>
                <w:sz w:val="18"/>
                <w:szCs w:val="18"/>
              </w:rPr>
              <w:t>;</w:t>
            </w:r>
            <w:r w:rsidRPr="000E257B">
              <w:rPr>
                <w:rFonts w:ascii="Arial" w:hAnsi="Arial" w:cs="Arial"/>
                <w:sz w:val="18"/>
                <w:szCs w:val="18"/>
              </w:rPr>
              <w:t xml:space="preserve"> (iii) legal due diligence works</w:t>
            </w:r>
            <w:r w:rsidR="00575897">
              <w:rPr>
                <w:rFonts w:ascii="Arial" w:hAnsi="Arial" w:cs="Arial"/>
                <w:sz w:val="18"/>
                <w:szCs w:val="18"/>
              </w:rPr>
              <w:t>;</w:t>
            </w:r>
            <w:r w:rsidRPr="000E257B">
              <w:rPr>
                <w:rFonts w:ascii="Arial" w:hAnsi="Arial" w:cs="Arial"/>
                <w:sz w:val="18"/>
                <w:szCs w:val="18"/>
              </w:rPr>
              <w:t xml:space="preserve"> (iv) corporate housekeeping matters</w:t>
            </w:r>
            <w:r w:rsidR="00575897">
              <w:rPr>
                <w:rFonts w:ascii="Arial" w:hAnsi="Arial" w:cs="Arial"/>
                <w:sz w:val="18"/>
                <w:szCs w:val="18"/>
              </w:rPr>
              <w:t>;</w:t>
            </w:r>
            <w:r w:rsidRPr="000E257B">
              <w:rPr>
                <w:rFonts w:ascii="Arial" w:hAnsi="Arial" w:cs="Arial"/>
                <w:sz w:val="18"/>
                <w:szCs w:val="18"/>
              </w:rPr>
              <w:t xml:space="preserve"> and (v) insolvency and liquidation.</w:t>
            </w:r>
          </w:p>
          <w:p w14:paraId="517614DB" w14:textId="77777777" w:rsidR="009F4A22" w:rsidRPr="003A2EBC" w:rsidRDefault="009F4A22" w:rsidP="00296B6F">
            <w:pPr>
              <w:spacing w:line="264" w:lineRule="auto"/>
              <w:ind w:left="342" w:hanging="270"/>
              <w:jc w:val="both"/>
              <w:rPr>
                <w:rFonts w:ascii="Arial" w:hAnsi="Arial" w:cs="Arial"/>
                <w:sz w:val="10"/>
                <w:szCs w:val="18"/>
              </w:rPr>
            </w:pPr>
          </w:p>
          <w:p w14:paraId="3A0AE55C" w14:textId="6B655EF7" w:rsidR="009F4A22" w:rsidRPr="000E257B" w:rsidRDefault="009F4A22" w:rsidP="00296B6F">
            <w:pPr>
              <w:numPr>
                <w:ilvl w:val="0"/>
                <w:numId w:val="21"/>
              </w:numPr>
              <w:spacing w:line="264" w:lineRule="auto"/>
              <w:ind w:left="342" w:hanging="270"/>
              <w:contextualSpacing/>
              <w:jc w:val="both"/>
              <w:rPr>
                <w:rFonts w:ascii="Arial" w:hAnsi="Arial" w:cs="Arial"/>
                <w:sz w:val="18"/>
                <w:szCs w:val="18"/>
              </w:rPr>
            </w:pPr>
            <w:r w:rsidRPr="000E257B">
              <w:rPr>
                <w:rFonts w:ascii="Arial" w:hAnsi="Arial" w:cs="Arial"/>
                <w:sz w:val="18"/>
                <w:szCs w:val="18"/>
              </w:rPr>
              <w:t xml:space="preserve">In </w:t>
            </w:r>
            <w:r w:rsidRPr="000E257B">
              <w:rPr>
                <w:rFonts w:ascii="Arial" w:hAnsi="Arial" w:cs="Arial"/>
                <w:b/>
                <w:smallCaps/>
                <w:sz w:val="18"/>
                <w:szCs w:val="18"/>
              </w:rPr>
              <w:t xml:space="preserve">Merger </w:t>
            </w:r>
            <w:r w:rsidR="007E627D" w:rsidRPr="000E257B">
              <w:rPr>
                <w:rFonts w:ascii="Arial" w:hAnsi="Arial" w:cs="Arial"/>
                <w:b/>
                <w:smallCaps/>
                <w:sz w:val="18"/>
                <w:szCs w:val="18"/>
                <w:lang w:val="id-ID"/>
              </w:rPr>
              <w:t>&amp;</w:t>
            </w:r>
            <w:r w:rsidRPr="000E257B">
              <w:rPr>
                <w:rFonts w:ascii="Arial" w:hAnsi="Arial" w:cs="Arial"/>
                <w:b/>
                <w:smallCaps/>
                <w:sz w:val="18"/>
                <w:szCs w:val="18"/>
              </w:rPr>
              <w:t xml:space="preserve"> Acquisition</w:t>
            </w:r>
            <w:r w:rsidRPr="000E257B">
              <w:rPr>
                <w:rFonts w:ascii="Arial" w:hAnsi="Arial" w:cs="Arial"/>
                <w:sz w:val="20"/>
                <w:szCs w:val="18"/>
              </w:rPr>
              <w:t xml:space="preserve"> </w:t>
            </w:r>
            <w:r w:rsidRPr="000E257B">
              <w:rPr>
                <w:rFonts w:ascii="Arial" w:hAnsi="Arial" w:cs="Arial"/>
                <w:sz w:val="18"/>
                <w:szCs w:val="18"/>
              </w:rPr>
              <w:t>works, she has represented numerous multinational and domestic group of companies in all M&amp;A and restructuring works, e.g.: (i) merger &amp; acquisition works</w:t>
            </w:r>
            <w:r w:rsidR="00575897">
              <w:rPr>
                <w:rFonts w:ascii="Arial" w:hAnsi="Arial" w:cs="Arial"/>
                <w:sz w:val="18"/>
                <w:szCs w:val="18"/>
              </w:rPr>
              <w:t>;</w:t>
            </w:r>
            <w:r w:rsidRPr="000E257B">
              <w:rPr>
                <w:rFonts w:ascii="Arial" w:hAnsi="Arial" w:cs="Arial"/>
                <w:sz w:val="18"/>
                <w:szCs w:val="18"/>
              </w:rPr>
              <w:t xml:space="preserve"> (ii) asset acquisition and disposal</w:t>
            </w:r>
            <w:r w:rsidR="00575897">
              <w:rPr>
                <w:rFonts w:ascii="Arial" w:hAnsi="Arial" w:cs="Arial"/>
                <w:sz w:val="18"/>
                <w:szCs w:val="18"/>
              </w:rPr>
              <w:t>;</w:t>
            </w:r>
            <w:r w:rsidRPr="000E257B">
              <w:rPr>
                <w:rFonts w:ascii="Arial" w:hAnsi="Arial" w:cs="Arial"/>
                <w:sz w:val="18"/>
                <w:szCs w:val="18"/>
              </w:rPr>
              <w:t xml:space="preserve"> (iii) equity and debt restructuring</w:t>
            </w:r>
            <w:r w:rsidR="00575897">
              <w:rPr>
                <w:rFonts w:ascii="Arial" w:hAnsi="Arial" w:cs="Arial"/>
                <w:sz w:val="18"/>
                <w:szCs w:val="18"/>
              </w:rPr>
              <w:t>;</w:t>
            </w:r>
            <w:r w:rsidRPr="000E257B">
              <w:rPr>
                <w:rFonts w:ascii="Arial" w:hAnsi="Arial" w:cs="Arial"/>
                <w:sz w:val="18"/>
                <w:szCs w:val="18"/>
              </w:rPr>
              <w:t xml:space="preserve"> (iv) </w:t>
            </w:r>
            <w:r w:rsidR="005C4BF7">
              <w:rPr>
                <w:rFonts w:ascii="Arial" w:hAnsi="Arial" w:cs="Arial"/>
                <w:sz w:val="18"/>
                <w:szCs w:val="18"/>
              </w:rPr>
              <w:t>s</w:t>
            </w:r>
            <w:r w:rsidRPr="000E257B">
              <w:rPr>
                <w:rFonts w:ascii="Arial" w:hAnsi="Arial" w:cs="Arial"/>
                <w:sz w:val="18"/>
                <w:szCs w:val="18"/>
              </w:rPr>
              <w:t>pin-</w:t>
            </w:r>
            <w:r w:rsidR="005C4BF7">
              <w:rPr>
                <w:rFonts w:ascii="Arial" w:hAnsi="Arial" w:cs="Arial"/>
                <w:sz w:val="18"/>
                <w:szCs w:val="18"/>
              </w:rPr>
              <w:t>o</w:t>
            </w:r>
            <w:r w:rsidRPr="000E257B">
              <w:rPr>
                <w:rFonts w:ascii="Arial" w:hAnsi="Arial" w:cs="Arial"/>
                <w:sz w:val="18"/>
                <w:szCs w:val="18"/>
              </w:rPr>
              <w:t>ff</w:t>
            </w:r>
            <w:r w:rsidR="00575897">
              <w:rPr>
                <w:rFonts w:ascii="Arial" w:hAnsi="Arial" w:cs="Arial"/>
                <w:sz w:val="18"/>
                <w:szCs w:val="18"/>
              </w:rPr>
              <w:t>;</w:t>
            </w:r>
            <w:r w:rsidRPr="000E257B">
              <w:rPr>
                <w:rFonts w:ascii="Arial" w:hAnsi="Arial" w:cs="Arial"/>
                <w:sz w:val="18"/>
                <w:szCs w:val="18"/>
              </w:rPr>
              <w:t xml:space="preserve"> (v) </w:t>
            </w:r>
            <w:r w:rsidR="005C4BF7">
              <w:rPr>
                <w:rFonts w:ascii="Arial" w:hAnsi="Arial" w:cs="Arial"/>
                <w:sz w:val="18"/>
                <w:szCs w:val="18"/>
              </w:rPr>
              <w:t>j</w:t>
            </w:r>
            <w:r w:rsidRPr="000E257B">
              <w:rPr>
                <w:rFonts w:ascii="Arial" w:hAnsi="Arial" w:cs="Arial"/>
                <w:sz w:val="18"/>
                <w:szCs w:val="18"/>
              </w:rPr>
              <w:t xml:space="preserve">oint </w:t>
            </w:r>
            <w:r w:rsidR="005C4BF7">
              <w:rPr>
                <w:rFonts w:ascii="Arial" w:hAnsi="Arial" w:cs="Arial"/>
                <w:sz w:val="18"/>
                <w:szCs w:val="18"/>
              </w:rPr>
              <w:t>v</w:t>
            </w:r>
            <w:r w:rsidRPr="000E257B">
              <w:rPr>
                <w:rFonts w:ascii="Arial" w:hAnsi="Arial" w:cs="Arial"/>
                <w:sz w:val="18"/>
                <w:szCs w:val="18"/>
              </w:rPr>
              <w:t>enture</w:t>
            </w:r>
            <w:r w:rsidR="00575897">
              <w:rPr>
                <w:rFonts w:ascii="Arial" w:hAnsi="Arial" w:cs="Arial"/>
                <w:sz w:val="18"/>
                <w:szCs w:val="18"/>
              </w:rPr>
              <w:t xml:space="preserve">; </w:t>
            </w:r>
            <w:r w:rsidRPr="000E257B">
              <w:rPr>
                <w:rFonts w:ascii="Arial" w:hAnsi="Arial" w:cs="Arial"/>
                <w:sz w:val="18"/>
                <w:szCs w:val="18"/>
              </w:rPr>
              <w:t>and (vi) complex legal due diligence works related to acquisition and restructuring projects.</w:t>
            </w:r>
          </w:p>
          <w:p w14:paraId="4F0DBF0E" w14:textId="77777777" w:rsidR="009F4A22" w:rsidRPr="003A2EBC" w:rsidRDefault="009F4A22" w:rsidP="00296B6F">
            <w:pPr>
              <w:ind w:left="342" w:hanging="270"/>
              <w:contextualSpacing/>
              <w:rPr>
                <w:rFonts w:cs="Arial"/>
                <w:sz w:val="10"/>
                <w:szCs w:val="18"/>
              </w:rPr>
            </w:pPr>
          </w:p>
          <w:p w14:paraId="5D67649C" w14:textId="64101121" w:rsidR="009F4A22" w:rsidRPr="000E257B" w:rsidRDefault="009F4A22" w:rsidP="00296B6F">
            <w:pPr>
              <w:numPr>
                <w:ilvl w:val="0"/>
                <w:numId w:val="21"/>
              </w:numPr>
              <w:spacing w:line="264" w:lineRule="auto"/>
              <w:ind w:left="342" w:hanging="270"/>
              <w:contextualSpacing/>
              <w:jc w:val="both"/>
              <w:rPr>
                <w:rFonts w:ascii="Arial" w:hAnsi="Arial"/>
                <w:sz w:val="18"/>
                <w:szCs w:val="18"/>
              </w:rPr>
            </w:pPr>
            <w:r w:rsidRPr="000E257B">
              <w:rPr>
                <w:rFonts w:ascii="Arial" w:hAnsi="Arial"/>
                <w:sz w:val="18"/>
                <w:szCs w:val="18"/>
              </w:rPr>
              <w:t xml:space="preserve">In </w:t>
            </w:r>
            <w:r w:rsidRPr="000E257B">
              <w:rPr>
                <w:rFonts w:ascii="Arial Bold" w:hAnsi="Arial Bold"/>
                <w:b/>
                <w:bCs/>
                <w:smallCaps/>
                <w:sz w:val="18"/>
                <w:szCs w:val="18"/>
              </w:rPr>
              <w:t xml:space="preserve">Manpower </w:t>
            </w:r>
            <w:r w:rsidR="007E627D" w:rsidRPr="000E257B">
              <w:rPr>
                <w:rFonts w:ascii="Arial" w:hAnsi="Arial" w:cs="Arial"/>
                <w:b/>
                <w:smallCaps/>
                <w:sz w:val="18"/>
                <w:szCs w:val="18"/>
                <w:lang w:val="id-ID"/>
              </w:rPr>
              <w:t>&amp;</w:t>
            </w:r>
            <w:r w:rsidRPr="000E257B">
              <w:rPr>
                <w:rFonts w:ascii="Arial Bold" w:hAnsi="Arial Bold"/>
                <w:b/>
                <w:bCs/>
                <w:smallCaps/>
                <w:sz w:val="18"/>
                <w:szCs w:val="18"/>
              </w:rPr>
              <w:t xml:space="preserve"> Industrial Relations</w:t>
            </w:r>
            <w:r w:rsidRPr="000E257B">
              <w:rPr>
                <w:rFonts w:ascii="Arial" w:hAnsi="Arial"/>
                <w:b/>
                <w:bCs/>
                <w:sz w:val="14"/>
                <w:szCs w:val="14"/>
              </w:rPr>
              <w:t xml:space="preserve"> </w:t>
            </w:r>
            <w:r w:rsidRPr="000E257B">
              <w:rPr>
                <w:rFonts w:ascii="Arial" w:hAnsi="Arial"/>
                <w:sz w:val="18"/>
                <w:szCs w:val="18"/>
              </w:rPr>
              <w:t>works, she has represented multinational group of companies in dealing with: (</w:t>
            </w:r>
            <w:proofErr w:type="spellStart"/>
            <w:r w:rsidRPr="000E257B">
              <w:rPr>
                <w:rFonts w:ascii="Arial" w:hAnsi="Arial"/>
                <w:sz w:val="18"/>
                <w:szCs w:val="18"/>
              </w:rPr>
              <w:t>i</w:t>
            </w:r>
            <w:proofErr w:type="spellEnd"/>
            <w:r w:rsidRPr="000E257B">
              <w:rPr>
                <w:rFonts w:ascii="Arial" w:hAnsi="Arial"/>
                <w:sz w:val="18"/>
                <w:szCs w:val="18"/>
              </w:rPr>
              <w:t>) general termination of employment and including mass termination</w:t>
            </w:r>
            <w:r w:rsidR="00575897">
              <w:rPr>
                <w:rFonts w:ascii="Arial" w:hAnsi="Arial"/>
                <w:sz w:val="18"/>
                <w:szCs w:val="18"/>
              </w:rPr>
              <w:t>;</w:t>
            </w:r>
            <w:r w:rsidRPr="000E257B">
              <w:rPr>
                <w:rFonts w:ascii="Arial" w:hAnsi="Arial"/>
                <w:sz w:val="18"/>
                <w:szCs w:val="18"/>
              </w:rPr>
              <w:t xml:space="preserve"> (ii) termination of employment due to the closing down of a company’s business or due to the liquidation of a company</w:t>
            </w:r>
            <w:r w:rsidR="00575897">
              <w:rPr>
                <w:rFonts w:ascii="Arial" w:hAnsi="Arial"/>
                <w:sz w:val="18"/>
                <w:szCs w:val="18"/>
              </w:rPr>
              <w:t>;</w:t>
            </w:r>
            <w:r w:rsidRPr="000E257B">
              <w:rPr>
                <w:rFonts w:ascii="Arial" w:hAnsi="Arial"/>
                <w:sz w:val="18"/>
                <w:szCs w:val="18"/>
              </w:rPr>
              <w:t xml:space="preserve"> (iii) transfer of employment, including related to M&amp;A and restructuring projects</w:t>
            </w:r>
            <w:r w:rsidR="00575897">
              <w:rPr>
                <w:rFonts w:ascii="Arial" w:hAnsi="Arial"/>
                <w:sz w:val="18"/>
                <w:szCs w:val="18"/>
              </w:rPr>
              <w:t>;</w:t>
            </w:r>
            <w:r w:rsidRPr="000E257B">
              <w:rPr>
                <w:rFonts w:ascii="Arial" w:hAnsi="Arial"/>
                <w:sz w:val="18"/>
                <w:szCs w:val="18"/>
              </w:rPr>
              <w:t xml:space="preserve"> </w:t>
            </w:r>
            <w:r>
              <w:rPr>
                <w:rFonts w:ascii="Arial" w:hAnsi="Arial"/>
                <w:sz w:val="18"/>
                <w:szCs w:val="18"/>
              </w:rPr>
              <w:t xml:space="preserve">and </w:t>
            </w:r>
            <w:r w:rsidRPr="000E257B">
              <w:rPr>
                <w:rFonts w:ascii="Arial" w:hAnsi="Arial"/>
                <w:sz w:val="18"/>
                <w:szCs w:val="18"/>
              </w:rPr>
              <w:t xml:space="preserve">(iv) structuring and processing work and stay permit for expatriate employees. </w:t>
            </w:r>
          </w:p>
          <w:p w14:paraId="628B9D6B" w14:textId="77777777" w:rsidR="009F4A22" w:rsidRPr="003A2EBC" w:rsidRDefault="009F4A22" w:rsidP="00296B6F">
            <w:pPr>
              <w:ind w:left="342" w:hanging="270"/>
              <w:contextualSpacing/>
              <w:rPr>
                <w:sz w:val="10"/>
                <w:szCs w:val="18"/>
              </w:rPr>
            </w:pPr>
          </w:p>
          <w:p w14:paraId="53D859F0" w14:textId="0AAA4F1E" w:rsidR="007E627D" w:rsidRDefault="007E627D" w:rsidP="00296B6F">
            <w:pPr>
              <w:numPr>
                <w:ilvl w:val="0"/>
                <w:numId w:val="21"/>
              </w:numPr>
              <w:spacing w:line="264" w:lineRule="auto"/>
              <w:ind w:left="342" w:hanging="270"/>
              <w:contextualSpacing/>
              <w:jc w:val="both"/>
              <w:rPr>
                <w:rFonts w:ascii="Arial" w:hAnsi="Arial"/>
                <w:sz w:val="18"/>
                <w:szCs w:val="18"/>
              </w:rPr>
            </w:pPr>
            <w:r w:rsidRPr="007E627D">
              <w:rPr>
                <w:rFonts w:ascii="Arial" w:hAnsi="Arial"/>
                <w:sz w:val="18"/>
                <w:szCs w:val="18"/>
              </w:rPr>
              <w:t xml:space="preserve">In </w:t>
            </w:r>
            <w:r w:rsidR="00456761">
              <w:rPr>
                <w:rFonts w:ascii="Arial" w:hAnsi="Arial"/>
                <w:b/>
                <w:bCs/>
                <w:smallCaps/>
                <w:sz w:val="18"/>
                <w:szCs w:val="18"/>
              </w:rPr>
              <w:t>Maritime</w:t>
            </w:r>
            <w:r w:rsidRPr="00DD0D2F">
              <w:rPr>
                <w:rFonts w:ascii="Arial" w:hAnsi="Arial"/>
                <w:b/>
                <w:bCs/>
                <w:smallCaps/>
                <w:sz w:val="18"/>
                <w:szCs w:val="18"/>
              </w:rPr>
              <w:t xml:space="preserve">, Logistic </w:t>
            </w:r>
            <w:r w:rsidRPr="000E257B">
              <w:rPr>
                <w:rFonts w:ascii="Arial" w:hAnsi="Arial" w:cs="Arial"/>
                <w:b/>
                <w:smallCaps/>
                <w:sz w:val="18"/>
                <w:szCs w:val="18"/>
                <w:lang w:val="id-ID"/>
              </w:rPr>
              <w:t>&amp;</w:t>
            </w:r>
            <w:r w:rsidRPr="00DD0D2F">
              <w:rPr>
                <w:rFonts w:ascii="Arial" w:hAnsi="Arial"/>
                <w:b/>
                <w:bCs/>
                <w:smallCaps/>
                <w:sz w:val="18"/>
                <w:szCs w:val="18"/>
              </w:rPr>
              <w:t xml:space="preserve"> Port Infrastructure</w:t>
            </w:r>
            <w:r w:rsidRPr="007E627D">
              <w:rPr>
                <w:rFonts w:ascii="Arial" w:hAnsi="Arial"/>
                <w:sz w:val="18"/>
                <w:szCs w:val="18"/>
              </w:rPr>
              <w:t xml:space="preserve"> works, she has represented multinational and domestic group of shipping &amp; logistics companies in handling among others: (i)</w:t>
            </w:r>
            <w:r>
              <w:rPr>
                <w:rFonts w:ascii="Arial" w:hAnsi="Arial"/>
                <w:sz w:val="18"/>
                <w:szCs w:val="18"/>
              </w:rPr>
              <w:t xml:space="preserve"> setting up shipping, and its supporting/ related business activities companies</w:t>
            </w:r>
            <w:r w:rsidR="00901A4E">
              <w:rPr>
                <w:rFonts w:ascii="Arial" w:hAnsi="Arial"/>
                <w:sz w:val="18"/>
                <w:szCs w:val="18"/>
              </w:rPr>
              <w:t>, including operation &amp; licensing,</w:t>
            </w:r>
            <w:r>
              <w:rPr>
                <w:rFonts w:ascii="Arial" w:hAnsi="Arial"/>
                <w:sz w:val="18"/>
                <w:szCs w:val="18"/>
              </w:rPr>
              <w:t xml:space="preserve"> (ii) sale and purchase of vessels </w:t>
            </w:r>
            <w:r>
              <w:rPr>
                <w:rFonts w:ascii="Arial" w:hAnsi="Arial"/>
                <w:sz w:val="18"/>
                <w:szCs w:val="18"/>
              </w:rPr>
              <w:lastRenderedPageBreak/>
              <w:t xml:space="preserve">including registration and deregistration of vessels, (iii) marine insurance, </w:t>
            </w:r>
            <w:r w:rsidR="00901A4E">
              <w:rPr>
                <w:rFonts w:ascii="Arial" w:hAnsi="Arial"/>
                <w:sz w:val="18"/>
                <w:szCs w:val="18"/>
              </w:rPr>
              <w:t>(iv) various crewing-related works</w:t>
            </w:r>
            <w:r w:rsidR="003166ED">
              <w:rPr>
                <w:rFonts w:ascii="Arial" w:hAnsi="Arial"/>
                <w:sz w:val="18"/>
                <w:szCs w:val="18"/>
              </w:rPr>
              <w:t xml:space="preserve">, e.g. preparing collective agreement with the Indonesian Seafarers Union and standard seafarer’s contract, and (v) various corporate actions by shipping and logistics companies (e.g. M&amp;A, restructuring and winding-up). </w:t>
            </w:r>
          </w:p>
          <w:p w14:paraId="7C4A8D95" w14:textId="77777777" w:rsidR="007E627D" w:rsidRPr="00456761" w:rsidRDefault="007E627D" w:rsidP="00DD0D2F">
            <w:pPr>
              <w:pStyle w:val="ListParagraph"/>
              <w:rPr>
                <w:rFonts w:ascii="Arial" w:hAnsi="Arial"/>
                <w:sz w:val="10"/>
                <w:szCs w:val="10"/>
              </w:rPr>
            </w:pPr>
          </w:p>
          <w:p w14:paraId="7B30055C" w14:textId="09C7A4D5" w:rsidR="007E627D" w:rsidRDefault="007E627D" w:rsidP="00296B6F">
            <w:pPr>
              <w:numPr>
                <w:ilvl w:val="0"/>
                <w:numId w:val="21"/>
              </w:numPr>
              <w:spacing w:line="264" w:lineRule="auto"/>
              <w:ind w:left="342" w:hanging="270"/>
              <w:contextualSpacing/>
              <w:jc w:val="both"/>
              <w:rPr>
                <w:rFonts w:ascii="Arial" w:hAnsi="Arial"/>
                <w:sz w:val="18"/>
                <w:szCs w:val="18"/>
              </w:rPr>
            </w:pPr>
            <w:r>
              <w:rPr>
                <w:rFonts w:ascii="Arial" w:hAnsi="Arial"/>
                <w:sz w:val="18"/>
                <w:szCs w:val="18"/>
              </w:rPr>
              <w:t xml:space="preserve">In </w:t>
            </w:r>
            <w:r w:rsidRPr="00DD0D2F">
              <w:rPr>
                <w:rFonts w:ascii="Arial" w:hAnsi="Arial"/>
                <w:b/>
                <w:bCs/>
                <w:smallCaps/>
                <w:sz w:val="18"/>
                <w:szCs w:val="18"/>
              </w:rPr>
              <w:t>Personal Data Protection</w:t>
            </w:r>
            <w:r>
              <w:rPr>
                <w:rFonts w:ascii="Arial" w:hAnsi="Arial"/>
                <w:sz w:val="18"/>
                <w:szCs w:val="18"/>
              </w:rPr>
              <w:t xml:space="preserve"> works, </w:t>
            </w:r>
            <w:r w:rsidRPr="000E257B">
              <w:rPr>
                <w:rFonts w:ascii="Arial" w:hAnsi="Arial"/>
                <w:sz w:val="18"/>
                <w:szCs w:val="18"/>
              </w:rPr>
              <w:t>she has represented multinational and domestic companies in relation to: (i) advising clients on</w:t>
            </w:r>
            <w:r>
              <w:rPr>
                <w:rFonts w:ascii="Arial" w:hAnsi="Arial"/>
                <w:sz w:val="18"/>
                <w:szCs w:val="18"/>
              </w:rPr>
              <w:t xml:space="preserve"> various personal data protection </w:t>
            </w:r>
            <w:r w:rsidR="00901A4E">
              <w:rPr>
                <w:rFonts w:ascii="Arial" w:hAnsi="Arial"/>
                <w:sz w:val="18"/>
                <w:szCs w:val="18"/>
              </w:rPr>
              <w:t>(“</w:t>
            </w:r>
            <w:r w:rsidR="00901A4E" w:rsidRPr="00DD0D2F">
              <w:rPr>
                <w:rFonts w:ascii="Arial" w:hAnsi="Arial"/>
                <w:b/>
                <w:bCs/>
                <w:sz w:val="18"/>
                <w:szCs w:val="18"/>
              </w:rPr>
              <w:t>PDP</w:t>
            </w:r>
            <w:r w:rsidR="00901A4E">
              <w:rPr>
                <w:rFonts w:ascii="Arial" w:hAnsi="Arial"/>
                <w:sz w:val="18"/>
                <w:szCs w:val="18"/>
              </w:rPr>
              <w:t xml:space="preserve">”) </w:t>
            </w:r>
            <w:r>
              <w:rPr>
                <w:rFonts w:ascii="Arial" w:hAnsi="Arial"/>
                <w:sz w:val="18"/>
                <w:szCs w:val="18"/>
              </w:rPr>
              <w:t xml:space="preserve">matters, (ii) </w:t>
            </w:r>
            <w:r w:rsidR="00901A4E">
              <w:rPr>
                <w:rFonts w:ascii="Arial" w:hAnsi="Arial"/>
                <w:sz w:val="18"/>
                <w:szCs w:val="18"/>
              </w:rPr>
              <w:t xml:space="preserve">preparing </w:t>
            </w:r>
            <w:r>
              <w:rPr>
                <w:rFonts w:ascii="Arial" w:hAnsi="Arial"/>
                <w:sz w:val="18"/>
                <w:szCs w:val="18"/>
              </w:rPr>
              <w:t>and reviewing various data privacy &amp; cybersecurity policy of the clients</w:t>
            </w:r>
            <w:r w:rsidR="00901A4E">
              <w:rPr>
                <w:rFonts w:ascii="Arial" w:hAnsi="Arial"/>
                <w:sz w:val="18"/>
                <w:szCs w:val="18"/>
              </w:rPr>
              <w:t>, (iii) conducting compliance check on PDP of the clients, and (iv) structuring and preparing various agreements</w:t>
            </w:r>
            <w:r w:rsidR="003166ED">
              <w:rPr>
                <w:rFonts w:ascii="Arial" w:hAnsi="Arial"/>
                <w:sz w:val="18"/>
                <w:szCs w:val="18"/>
              </w:rPr>
              <w:t>.</w:t>
            </w:r>
            <w:r w:rsidR="00901A4E">
              <w:rPr>
                <w:rFonts w:ascii="Arial" w:hAnsi="Arial"/>
                <w:sz w:val="18"/>
                <w:szCs w:val="18"/>
              </w:rPr>
              <w:t xml:space="preserve"> </w:t>
            </w:r>
          </w:p>
          <w:p w14:paraId="2DFF3A7C" w14:textId="77777777" w:rsidR="007E627D" w:rsidRPr="00456761" w:rsidRDefault="007E627D" w:rsidP="00DD0D2F">
            <w:pPr>
              <w:pStyle w:val="ListParagraph"/>
              <w:rPr>
                <w:rFonts w:ascii="Arial" w:hAnsi="Arial"/>
                <w:sz w:val="10"/>
                <w:szCs w:val="10"/>
              </w:rPr>
            </w:pPr>
          </w:p>
          <w:p w14:paraId="21230F87" w14:textId="31E5B187" w:rsidR="009F4A22" w:rsidRPr="000E257B" w:rsidRDefault="009F4A22" w:rsidP="00296B6F">
            <w:pPr>
              <w:numPr>
                <w:ilvl w:val="0"/>
                <w:numId w:val="21"/>
              </w:numPr>
              <w:spacing w:line="264" w:lineRule="auto"/>
              <w:ind w:left="342" w:hanging="270"/>
              <w:contextualSpacing/>
              <w:jc w:val="both"/>
              <w:rPr>
                <w:rFonts w:ascii="Arial" w:hAnsi="Arial"/>
                <w:sz w:val="18"/>
                <w:szCs w:val="18"/>
              </w:rPr>
            </w:pPr>
            <w:r w:rsidRPr="000E257B">
              <w:rPr>
                <w:rFonts w:ascii="Arial" w:hAnsi="Arial"/>
                <w:sz w:val="18"/>
                <w:szCs w:val="18"/>
              </w:rPr>
              <w:t xml:space="preserve">In </w:t>
            </w:r>
            <w:r w:rsidRPr="000E257B">
              <w:rPr>
                <w:rFonts w:ascii="Arial" w:hAnsi="Arial"/>
                <w:b/>
                <w:smallCaps/>
                <w:sz w:val="18"/>
                <w:szCs w:val="18"/>
              </w:rPr>
              <w:t>Intellectual Property Rights</w:t>
            </w:r>
            <w:r w:rsidRPr="000E257B">
              <w:rPr>
                <w:rFonts w:ascii="Arial" w:hAnsi="Arial"/>
                <w:sz w:val="20"/>
                <w:szCs w:val="18"/>
              </w:rPr>
              <w:t xml:space="preserve"> </w:t>
            </w:r>
            <w:r w:rsidRPr="000E257B">
              <w:rPr>
                <w:rFonts w:ascii="Arial" w:hAnsi="Arial"/>
                <w:sz w:val="18"/>
                <w:szCs w:val="18"/>
              </w:rPr>
              <w:t>works, she has represented multinational and domestic companies in relation to: (i) advising clients on the various intellectual property rights protection in Indonesia</w:t>
            </w:r>
            <w:r w:rsidR="00575897">
              <w:rPr>
                <w:rFonts w:ascii="Arial" w:hAnsi="Arial"/>
                <w:sz w:val="18"/>
                <w:szCs w:val="18"/>
              </w:rPr>
              <w:t>;</w:t>
            </w:r>
            <w:r w:rsidRPr="000E257B">
              <w:rPr>
                <w:rFonts w:ascii="Arial" w:hAnsi="Arial"/>
                <w:sz w:val="18"/>
                <w:szCs w:val="18"/>
              </w:rPr>
              <w:t xml:space="preserve"> (ii) Intellectual Property Rights search</w:t>
            </w:r>
            <w:r w:rsidR="00575897">
              <w:rPr>
                <w:rFonts w:ascii="Arial" w:hAnsi="Arial"/>
                <w:sz w:val="18"/>
                <w:szCs w:val="18"/>
              </w:rPr>
              <w:t>;</w:t>
            </w:r>
            <w:r w:rsidRPr="000E257B">
              <w:rPr>
                <w:rFonts w:ascii="Arial" w:hAnsi="Arial"/>
                <w:sz w:val="18"/>
                <w:szCs w:val="18"/>
              </w:rPr>
              <w:t xml:space="preserve"> and (iii) structuring and preparing License Agreement.</w:t>
            </w:r>
          </w:p>
          <w:p w14:paraId="10B83889" w14:textId="295F7397" w:rsidR="007E627D" w:rsidRPr="00456761" w:rsidRDefault="007E627D" w:rsidP="009F7937">
            <w:pPr>
              <w:spacing w:line="264" w:lineRule="auto"/>
              <w:contextualSpacing/>
              <w:jc w:val="both"/>
              <w:rPr>
                <w:rFonts w:ascii="Arial" w:hAnsi="Arial" w:cs="Arial"/>
                <w:sz w:val="10"/>
                <w:szCs w:val="10"/>
              </w:rPr>
            </w:pPr>
          </w:p>
        </w:tc>
      </w:tr>
      <w:tr w:rsidR="009F4A22" w14:paraId="400F5D05" w14:textId="77777777" w:rsidTr="009F4A22">
        <w:tblPrEx>
          <w:tblBorders>
            <w:insideH w:val="none" w:sz="0" w:space="0" w:color="auto"/>
            <w:insideV w:val="none" w:sz="0" w:space="0" w:color="auto"/>
          </w:tblBorders>
          <w:tblLook w:val="0000" w:firstRow="0" w:lastRow="0" w:firstColumn="0" w:lastColumn="0" w:noHBand="0" w:noVBand="0"/>
        </w:tblPrEx>
        <w:trPr>
          <w:trHeight w:val="440"/>
        </w:trPr>
        <w:tc>
          <w:tcPr>
            <w:tcW w:w="9180"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2BA04F4F" w14:textId="417206A2" w:rsidR="009F4A22" w:rsidRPr="009F4A22" w:rsidRDefault="009F4A22" w:rsidP="009F4A22">
            <w:pPr>
              <w:spacing w:line="264" w:lineRule="auto"/>
              <w:jc w:val="both"/>
              <w:rPr>
                <w:rFonts w:ascii="Arial" w:hAnsi="Arial" w:cs="Arial"/>
                <w:b/>
                <w:smallCaps/>
                <w:sz w:val="18"/>
                <w:lang w:val="id-ID"/>
              </w:rPr>
            </w:pPr>
            <w:r w:rsidRPr="000E257B">
              <w:rPr>
                <w:rFonts w:ascii="Arial" w:hAnsi="Arial" w:cs="Arial"/>
                <w:b/>
                <w:smallCaps/>
                <w:sz w:val="18"/>
              </w:rPr>
              <w:lastRenderedPageBreak/>
              <w:t>Professional Achievements</w:t>
            </w:r>
          </w:p>
        </w:tc>
      </w:tr>
      <w:tr w:rsidR="009F4A22" w14:paraId="52F10597" w14:textId="77777777" w:rsidTr="00296B6F">
        <w:tblPrEx>
          <w:tblLook w:val="0000" w:firstRow="0" w:lastRow="0" w:firstColumn="0" w:lastColumn="0" w:noHBand="0" w:noVBand="0"/>
        </w:tblPrEx>
        <w:trPr>
          <w:trHeight w:val="2060"/>
        </w:trPr>
        <w:tc>
          <w:tcPr>
            <w:tcW w:w="2160" w:type="dxa"/>
            <w:tcBorders>
              <w:top w:val="single" w:sz="4" w:space="0" w:color="auto"/>
              <w:left w:val="single" w:sz="4" w:space="0" w:color="auto"/>
              <w:bottom w:val="single" w:sz="4" w:space="0" w:color="auto"/>
              <w:right w:val="single" w:sz="4" w:space="0" w:color="auto"/>
            </w:tcBorders>
          </w:tcPr>
          <w:p w14:paraId="2FFCE8C5" w14:textId="77777777" w:rsidR="009F4A22" w:rsidRPr="000E257B" w:rsidRDefault="009F4A22" w:rsidP="009F4A22">
            <w:pPr>
              <w:jc w:val="both"/>
              <w:rPr>
                <w:rFonts w:ascii="Arial" w:hAnsi="Arial" w:cs="Arial"/>
                <w:b/>
                <w:smallCaps/>
                <w:sz w:val="10"/>
                <w:szCs w:val="10"/>
              </w:rPr>
            </w:pPr>
          </w:p>
          <w:p w14:paraId="2870620F" w14:textId="147A919B" w:rsidR="009F4A22" w:rsidRPr="007C596C" w:rsidRDefault="009F4A22" w:rsidP="009F4A22">
            <w:pPr>
              <w:rPr>
                <w:rFonts w:ascii="Arial" w:hAnsi="Arial" w:cs="Arial"/>
                <w:b/>
                <w:smallCaps/>
                <w:sz w:val="10"/>
              </w:rPr>
            </w:pPr>
            <w:r w:rsidRPr="000E257B">
              <w:rPr>
                <w:rFonts w:ascii="Arial" w:hAnsi="Arial" w:cs="Arial"/>
                <w:b/>
                <w:smallCaps/>
                <w:sz w:val="18"/>
              </w:rPr>
              <w:t>Articles/Publications</w:t>
            </w:r>
          </w:p>
        </w:tc>
        <w:tc>
          <w:tcPr>
            <w:tcW w:w="7020" w:type="dxa"/>
            <w:tcBorders>
              <w:top w:val="single" w:sz="4" w:space="0" w:color="auto"/>
              <w:left w:val="single" w:sz="4" w:space="0" w:color="auto"/>
              <w:bottom w:val="single" w:sz="4" w:space="0" w:color="auto"/>
              <w:right w:val="single" w:sz="4" w:space="0" w:color="auto"/>
            </w:tcBorders>
          </w:tcPr>
          <w:p w14:paraId="3D309816" w14:textId="77777777" w:rsidR="009F4A22" w:rsidRPr="00DF23D2" w:rsidRDefault="009F4A22" w:rsidP="00DF23D2">
            <w:pPr>
              <w:ind w:left="426"/>
              <w:contextualSpacing/>
              <w:jc w:val="both"/>
              <w:rPr>
                <w:rFonts w:ascii="Arial" w:hAnsi="Arial" w:cs="Arial"/>
                <w:color w:val="000000" w:themeColor="text1"/>
                <w:sz w:val="10"/>
                <w:szCs w:val="10"/>
              </w:rPr>
            </w:pPr>
          </w:p>
          <w:p w14:paraId="6E665211" w14:textId="7AAF419B" w:rsidR="00B94098" w:rsidRDefault="00B94098" w:rsidP="00066D62">
            <w:pPr>
              <w:numPr>
                <w:ilvl w:val="0"/>
                <w:numId w:val="21"/>
              </w:numPr>
              <w:shd w:val="clear" w:color="auto" w:fill="FFFFFF"/>
              <w:ind w:hanging="288"/>
              <w:jc w:val="both"/>
              <w:rPr>
                <w:rFonts w:ascii="Arial" w:hAnsi="Arial" w:cs="Arial"/>
                <w:color w:val="000000" w:themeColor="text1"/>
                <w:sz w:val="18"/>
                <w:szCs w:val="18"/>
              </w:rPr>
            </w:pPr>
            <w:r>
              <w:rPr>
                <w:rFonts w:ascii="Arial" w:hAnsi="Arial" w:cs="Arial"/>
                <w:color w:val="000000" w:themeColor="text1"/>
                <w:sz w:val="18"/>
                <w:szCs w:val="18"/>
              </w:rPr>
              <w:t>MERITAS – Indonesia’s</w:t>
            </w:r>
            <w:r w:rsidRPr="00B94098">
              <w:rPr>
                <w:rFonts w:ascii="Arial" w:hAnsi="Arial" w:cs="Arial"/>
                <w:color w:val="000000" w:themeColor="text1"/>
                <w:sz w:val="18"/>
                <w:szCs w:val="18"/>
              </w:rPr>
              <w:t xml:space="preserve"> Green Initiative: Sustainable Transportation through Electric Vehicle Manufacturin</w:t>
            </w:r>
            <w:r>
              <w:rPr>
                <w:rFonts w:ascii="Arial" w:hAnsi="Arial" w:cs="Arial"/>
                <w:color w:val="000000" w:themeColor="text1"/>
                <w:sz w:val="18"/>
                <w:szCs w:val="18"/>
              </w:rPr>
              <w:t>g (2025)</w:t>
            </w:r>
          </w:p>
          <w:p w14:paraId="6065A7D6" w14:textId="4CBC49C1" w:rsidR="00DD6800" w:rsidRDefault="00DD6800" w:rsidP="00066D62">
            <w:pPr>
              <w:numPr>
                <w:ilvl w:val="0"/>
                <w:numId w:val="21"/>
              </w:numPr>
              <w:shd w:val="clear" w:color="auto" w:fill="FFFFFF"/>
              <w:ind w:hanging="288"/>
              <w:jc w:val="both"/>
              <w:rPr>
                <w:rFonts w:ascii="Arial" w:hAnsi="Arial" w:cs="Arial"/>
                <w:color w:val="000000" w:themeColor="text1"/>
                <w:sz w:val="18"/>
                <w:szCs w:val="18"/>
              </w:rPr>
            </w:pPr>
            <w:r>
              <w:rPr>
                <w:rFonts w:ascii="Arial" w:hAnsi="Arial" w:cs="Arial"/>
                <w:color w:val="000000" w:themeColor="text1"/>
                <w:sz w:val="18"/>
                <w:szCs w:val="18"/>
              </w:rPr>
              <w:t>MERITAS Asia Data Protection &amp; Security Practice Group – Business Guide: A Roadmap to Personal Data Protection &amp; Privacy in Asia (2023).</w:t>
            </w:r>
          </w:p>
          <w:p w14:paraId="3AE68331" w14:textId="28445460" w:rsidR="00C315BC" w:rsidRDefault="00C315BC" w:rsidP="00066D62">
            <w:pPr>
              <w:numPr>
                <w:ilvl w:val="0"/>
                <w:numId w:val="21"/>
              </w:numPr>
              <w:shd w:val="clear" w:color="auto" w:fill="FFFFFF"/>
              <w:ind w:hanging="288"/>
              <w:jc w:val="both"/>
              <w:rPr>
                <w:rFonts w:ascii="Arial" w:hAnsi="Arial" w:cs="Arial"/>
                <w:color w:val="000000" w:themeColor="text1"/>
                <w:sz w:val="18"/>
                <w:szCs w:val="18"/>
              </w:rPr>
            </w:pPr>
            <w:r>
              <w:rPr>
                <w:rFonts w:ascii="Arial" w:hAnsi="Arial" w:cs="Arial"/>
                <w:color w:val="000000" w:themeColor="text1"/>
                <w:sz w:val="18"/>
                <w:szCs w:val="18"/>
              </w:rPr>
              <w:t>MERITAS Asia Technology Practice Group – “Hot Take” on Artificial Intelligence (2023).</w:t>
            </w:r>
          </w:p>
          <w:p w14:paraId="7892A69F" w14:textId="4E2521F2" w:rsidR="00E84C6B" w:rsidRPr="00E84C6B" w:rsidRDefault="00E84C6B" w:rsidP="00066D62">
            <w:pPr>
              <w:numPr>
                <w:ilvl w:val="0"/>
                <w:numId w:val="21"/>
              </w:numPr>
              <w:shd w:val="clear" w:color="auto" w:fill="FFFFFF"/>
              <w:ind w:hanging="288"/>
              <w:jc w:val="both"/>
              <w:rPr>
                <w:rFonts w:ascii="Arial" w:hAnsi="Arial" w:cs="Arial"/>
                <w:color w:val="000000" w:themeColor="text1"/>
                <w:sz w:val="18"/>
                <w:szCs w:val="18"/>
              </w:rPr>
            </w:pPr>
            <w:r w:rsidRPr="00E84C6B">
              <w:rPr>
                <w:rFonts w:ascii="Arial" w:hAnsi="Arial" w:cs="Arial"/>
                <w:color w:val="000000" w:themeColor="text1"/>
                <w:sz w:val="18"/>
                <w:szCs w:val="18"/>
              </w:rPr>
              <w:t>Thomson Reuters Practical Law Global – Importing into Indonesia: Overview (2023).</w:t>
            </w:r>
          </w:p>
          <w:p w14:paraId="2D0F1E72" w14:textId="019423E6" w:rsidR="00E84C6B" w:rsidRPr="00E84C6B" w:rsidRDefault="00E84C6B" w:rsidP="00066D62">
            <w:pPr>
              <w:numPr>
                <w:ilvl w:val="0"/>
                <w:numId w:val="21"/>
              </w:numPr>
              <w:shd w:val="clear" w:color="auto" w:fill="FFFFFF"/>
              <w:ind w:hanging="288"/>
              <w:jc w:val="both"/>
              <w:rPr>
                <w:rFonts w:ascii="Arial" w:hAnsi="Arial" w:cs="Arial"/>
                <w:color w:val="000000" w:themeColor="text1"/>
                <w:sz w:val="18"/>
                <w:szCs w:val="18"/>
              </w:rPr>
            </w:pPr>
            <w:r w:rsidRPr="00E84C6B">
              <w:rPr>
                <w:rFonts w:ascii="Arial" w:hAnsi="Arial" w:cs="Arial"/>
                <w:color w:val="000000" w:themeColor="text1"/>
                <w:sz w:val="18"/>
                <w:szCs w:val="18"/>
              </w:rPr>
              <w:t>Thomson Reuters Practical Law Global – Exporting from Indonesia: Overview (2023).</w:t>
            </w:r>
          </w:p>
          <w:p w14:paraId="2B91C431" w14:textId="2B31E002" w:rsidR="00E84C6B" w:rsidRDefault="00E84C6B" w:rsidP="00066D62">
            <w:pPr>
              <w:numPr>
                <w:ilvl w:val="0"/>
                <w:numId w:val="21"/>
              </w:numPr>
              <w:shd w:val="clear" w:color="auto" w:fill="FFFFFF"/>
              <w:ind w:hanging="288"/>
              <w:jc w:val="both"/>
              <w:rPr>
                <w:rFonts w:ascii="Arial" w:hAnsi="Arial" w:cs="Arial"/>
                <w:color w:val="000000" w:themeColor="text1"/>
                <w:sz w:val="18"/>
                <w:szCs w:val="18"/>
              </w:rPr>
            </w:pPr>
            <w:r w:rsidRPr="00E84C6B">
              <w:rPr>
                <w:rFonts w:ascii="Arial" w:hAnsi="Arial" w:cs="Arial"/>
                <w:color w:val="000000" w:themeColor="text1"/>
                <w:sz w:val="18"/>
                <w:szCs w:val="18"/>
              </w:rPr>
              <w:t>Thomson Reuters Practical Law Global – Supply of Goods in Indonesia: Overview (2023).</w:t>
            </w:r>
          </w:p>
          <w:p w14:paraId="2C2A34A0" w14:textId="77777777" w:rsidR="00967D5D" w:rsidRPr="00E84C6B" w:rsidRDefault="00967D5D" w:rsidP="00066D62">
            <w:pPr>
              <w:numPr>
                <w:ilvl w:val="0"/>
                <w:numId w:val="21"/>
              </w:numPr>
              <w:spacing w:line="264" w:lineRule="auto"/>
              <w:ind w:hanging="288"/>
              <w:contextualSpacing/>
              <w:jc w:val="both"/>
              <w:rPr>
                <w:rFonts w:ascii="Arial" w:hAnsi="Arial" w:cs="Arial"/>
                <w:color w:val="000000" w:themeColor="text1"/>
                <w:sz w:val="18"/>
                <w:szCs w:val="18"/>
              </w:rPr>
            </w:pPr>
            <w:proofErr w:type="spellStart"/>
            <w:r w:rsidRPr="00DF23D2">
              <w:rPr>
                <w:rFonts w:ascii="Arial" w:hAnsi="Arial" w:cs="Arial"/>
                <w:color w:val="000000" w:themeColor="text1"/>
                <w:sz w:val="18"/>
                <w:szCs w:val="18"/>
              </w:rPr>
              <w:t>OneTrust</w:t>
            </w:r>
            <w:proofErr w:type="spellEnd"/>
            <w:r w:rsidRPr="00DF23D2">
              <w:rPr>
                <w:rFonts w:ascii="Arial" w:hAnsi="Arial" w:cs="Arial"/>
                <w:color w:val="000000" w:themeColor="text1"/>
                <w:sz w:val="18"/>
                <w:szCs w:val="18"/>
              </w:rPr>
              <w:t xml:space="preserve"> Data Guidance on Cybersecurity Guideline – Indonesia Section (</w:t>
            </w:r>
            <w:r>
              <w:rPr>
                <w:rFonts w:ascii="Arial" w:hAnsi="Arial" w:cs="Arial"/>
                <w:color w:val="000000" w:themeColor="text1"/>
                <w:sz w:val="18"/>
                <w:szCs w:val="18"/>
              </w:rPr>
              <w:t xml:space="preserve">2020, </w:t>
            </w:r>
            <w:r w:rsidRPr="00DF23D2">
              <w:rPr>
                <w:rFonts w:ascii="Arial" w:hAnsi="Arial" w:cs="Arial"/>
                <w:color w:val="000000" w:themeColor="text1"/>
                <w:sz w:val="18"/>
                <w:szCs w:val="18"/>
              </w:rPr>
              <w:t>2021</w:t>
            </w:r>
            <w:r>
              <w:rPr>
                <w:rFonts w:ascii="Arial" w:hAnsi="Arial" w:cs="Arial"/>
                <w:color w:val="000000" w:themeColor="text1"/>
                <w:sz w:val="18"/>
                <w:szCs w:val="18"/>
              </w:rPr>
              <w:t xml:space="preserve"> and 2023</w:t>
            </w:r>
            <w:r w:rsidRPr="00DF23D2">
              <w:rPr>
                <w:rFonts w:ascii="Arial" w:hAnsi="Arial" w:cs="Arial"/>
                <w:color w:val="000000" w:themeColor="text1"/>
                <w:sz w:val="18"/>
                <w:szCs w:val="18"/>
              </w:rPr>
              <w:t>).</w:t>
            </w:r>
          </w:p>
          <w:p w14:paraId="40A101E1" w14:textId="69441EEB" w:rsidR="008B02E8" w:rsidRDefault="008B02E8" w:rsidP="00066D62">
            <w:pPr>
              <w:numPr>
                <w:ilvl w:val="0"/>
                <w:numId w:val="21"/>
              </w:numPr>
              <w:shd w:val="clear" w:color="auto" w:fill="FFFFFF"/>
              <w:ind w:hanging="288"/>
              <w:jc w:val="both"/>
              <w:rPr>
                <w:rFonts w:ascii="Arial" w:hAnsi="Arial" w:cs="Arial"/>
                <w:color w:val="000000" w:themeColor="text1"/>
                <w:sz w:val="18"/>
                <w:szCs w:val="18"/>
              </w:rPr>
            </w:pPr>
            <w:r w:rsidRPr="00DF23D2">
              <w:rPr>
                <w:rFonts w:ascii="Arial" w:hAnsi="Arial" w:cs="Arial"/>
                <w:color w:val="000000" w:themeColor="text1"/>
                <w:sz w:val="18"/>
                <w:szCs w:val="18"/>
              </w:rPr>
              <w:t>Thomson Reuters – International Trade in Goods and Services in Indonesia: Overview (</w:t>
            </w:r>
            <w:r w:rsidR="00570825" w:rsidRPr="00DF23D2">
              <w:rPr>
                <w:rFonts w:ascii="Arial" w:hAnsi="Arial" w:cs="Arial"/>
                <w:color w:val="000000" w:themeColor="text1"/>
                <w:sz w:val="18"/>
                <w:szCs w:val="18"/>
              </w:rPr>
              <w:t xml:space="preserve">2018, 2020 and </w:t>
            </w:r>
            <w:r w:rsidRPr="00DF23D2">
              <w:rPr>
                <w:rFonts w:ascii="Arial" w:hAnsi="Arial" w:cs="Arial"/>
                <w:color w:val="000000" w:themeColor="text1"/>
                <w:sz w:val="18"/>
                <w:szCs w:val="18"/>
              </w:rPr>
              <w:t>2021).</w:t>
            </w:r>
          </w:p>
          <w:p w14:paraId="7BD1F265" w14:textId="0AED5F70" w:rsidR="008B02E8" w:rsidRPr="00DF23D2" w:rsidRDefault="008B02E8" w:rsidP="00066D62">
            <w:pPr>
              <w:numPr>
                <w:ilvl w:val="0"/>
                <w:numId w:val="21"/>
              </w:numPr>
              <w:shd w:val="clear" w:color="auto" w:fill="FFFFFF"/>
              <w:spacing w:before="100" w:beforeAutospacing="1" w:after="100" w:afterAutospacing="1"/>
              <w:ind w:hanging="288"/>
              <w:jc w:val="both"/>
              <w:rPr>
                <w:rFonts w:ascii="Arial" w:hAnsi="Arial" w:cs="Arial"/>
                <w:color w:val="000000" w:themeColor="text1"/>
                <w:sz w:val="18"/>
                <w:szCs w:val="18"/>
              </w:rPr>
            </w:pPr>
            <w:r w:rsidRPr="00DF23D2">
              <w:rPr>
                <w:rFonts w:ascii="Arial" w:hAnsi="Arial" w:cs="Arial"/>
                <w:color w:val="000000" w:themeColor="text1"/>
                <w:sz w:val="18"/>
                <w:szCs w:val="18"/>
              </w:rPr>
              <w:t>Thomson Reuters – Sale and Storage of Goods in Indonesia: Overview (</w:t>
            </w:r>
            <w:r w:rsidR="00D56796" w:rsidRPr="00DF23D2">
              <w:rPr>
                <w:rFonts w:ascii="Arial" w:hAnsi="Arial" w:cs="Arial"/>
                <w:color w:val="000000" w:themeColor="text1"/>
                <w:sz w:val="18"/>
                <w:szCs w:val="18"/>
              </w:rPr>
              <w:t xml:space="preserve">2020 and </w:t>
            </w:r>
            <w:r w:rsidRPr="00DF23D2">
              <w:rPr>
                <w:rFonts w:ascii="Arial" w:hAnsi="Arial" w:cs="Arial"/>
                <w:color w:val="000000" w:themeColor="text1"/>
                <w:sz w:val="18"/>
                <w:szCs w:val="18"/>
              </w:rPr>
              <w:t>2021).</w:t>
            </w:r>
          </w:p>
          <w:p w14:paraId="2A5495A1" w14:textId="78BB5ED5" w:rsidR="009F4A22" w:rsidRPr="00DF23D2" w:rsidRDefault="00C315BC" w:rsidP="00066D62">
            <w:pPr>
              <w:numPr>
                <w:ilvl w:val="0"/>
                <w:numId w:val="21"/>
              </w:numPr>
              <w:spacing w:line="264" w:lineRule="auto"/>
              <w:ind w:hanging="288"/>
              <w:contextualSpacing/>
              <w:jc w:val="both"/>
              <w:rPr>
                <w:rFonts w:ascii="Arial" w:hAnsi="Arial" w:cs="Arial"/>
                <w:color w:val="000000" w:themeColor="text1"/>
                <w:sz w:val="18"/>
                <w:szCs w:val="18"/>
              </w:rPr>
            </w:pPr>
            <w:r w:rsidRPr="00DF23D2">
              <w:rPr>
                <w:rFonts w:ascii="Arial" w:hAnsi="Arial" w:cs="Arial"/>
                <w:color w:val="000000" w:themeColor="text1"/>
                <w:sz w:val="18"/>
                <w:szCs w:val="18"/>
              </w:rPr>
              <w:t>MERITAS</w:t>
            </w:r>
            <w:r w:rsidR="009F4A22" w:rsidRPr="00DF23D2">
              <w:rPr>
                <w:rFonts w:ascii="Arial" w:hAnsi="Arial" w:cs="Arial"/>
                <w:color w:val="000000" w:themeColor="text1"/>
                <w:sz w:val="18"/>
                <w:szCs w:val="18"/>
              </w:rPr>
              <w:t xml:space="preserve"> on A Global Roadmap to Personal Data Protection</w:t>
            </w:r>
            <w:r>
              <w:rPr>
                <w:rFonts w:ascii="Arial" w:hAnsi="Arial" w:cs="Arial"/>
                <w:color w:val="000000" w:themeColor="text1"/>
                <w:sz w:val="18"/>
                <w:szCs w:val="18"/>
              </w:rPr>
              <w:t xml:space="preserve"> </w:t>
            </w:r>
            <w:r w:rsidR="009F4A22" w:rsidRPr="00DF23D2">
              <w:rPr>
                <w:rFonts w:ascii="Arial" w:hAnsi="Arial" w:cs="Arial"/>
                <w:color w:val="000000" w:themeColor="text1"/>
                <w:sz w:val="18"/>
                <w:szCs w:val="18"/>
              </w:rPr>
              <w:t>– Indonesia Section (2019)</w:t>
            </w:r>
            <w:r w:rsidR="00575897" w:rsidRPr="00DF23D2">
              <w:rPr>
                <w:rFonts w:ascii="Arial" w:hAnsi="Arial" w:cs="Arial"/>
                <w:color w:val="000000" w:themeColor="text1"/>
                <w:sz w:val="18"/>
                <w:szCs w:val="18"/>
              </w:rPr>
              <w:t>.</w:t>
            </w:r>
          </w:p>
          <w:p w14:paraId="4E379E7C" w14:textId="77777777" w:rsidR="00B95D05" w:rsidRPr="00DF23D2" w:rsidRDefault="009F4A22" w:rsidP="00066D62">
            <w:pPr>
              <w:numPr>
                <w:ilvl w:val="0"/>
                <w:numId w:val="21"/>
              </w:numPr>
              <w:spacing w:line="264" w:lineRule="auto"/>
              <w:ind w:hanging="288"/>
              <w:contextualSpacing/>
              <w:jc w:val="both"/>
              <w:rPr>
                <w:rFonts w:ascii="Arial" w:hAnsi="Arial" w:cs="Arial"/>
                <w:color w:val="000000" w:themeColor="text1"/>
                <w:sz w:val="18"/>
                <w:szCs w:val="18"/>
              </w:rPr>
            </w:pPr>
            <w:r w:rsidRPr="00DF23D2">
              <w:rPr>
                <w:rFonts w:ascii="Arial" w:hAnsi="Arial" w:cs="Arial"/>
                <w:color w:val="000000" w:themeColor="text1"/>
                <w:sz w:val="18"/>
                <w:szCs w:val="18"/>
              </w:rPr>
              <w:t>Lexis Nexis Foreign Investment Law Guide 2017-2018 – Indonesia Section (2017)</w:t>
            </w:r>
            <w:r w:rsidR="00575897" w:rsidRPr="00DF23D2">
              <w:rPr>
                <w:rFonts w:ascii="Arial" w:hAnsi="Arial" w:cs="Arial"/>
                <w:color w:val="000000" w:themeColor="text1"/>
                <w:sz w:val="18"/>
                <w:szCs w:val="18"/>
              </w:rPr>
              <w:t>.</w:t>
            </w:r>
          </w:p>
          <w:p w14:paraId="455E6FBA" w14:textId="596D392F" w:rsidR="00062E6A" w:rsidRPr="00DF23D2" w:rsidRDefault="00062E6A" w:rsidP="00DF23D2">
            <w:pPr>
              <w:spacing w:line="264" w:lineRule="auto"/>
              <w:ind w:left="72"/>
              <w:contextualSpacing/>
              <w:jc w:val="both"/>
              <w:rPr>
                <w:rFonts w:ascii="Arial" w:hAnsi="Arial" w:cs="Arial"/>
                <w:color w:val="000000" w:themeColor="text1"/>
                <w:sz w:val="10"/>
                <w:szCs w:val="18"/>
              </w:rPr>
            </w:pPr>
          </w:p>
        </w:tc>
      </w:tr>
      <w:tr w:rsidR="009F4A22" w14:paraId="470281DC" w14:textId="77777777" w:rsidTr="009F4A22">
        <w:tblPrEx>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23EFF6C" w14:textId="77777777" w:rsidR="00B95D05" w:rsidRPr="00B95D05" w:rsidRDefault="00B95D05" w:rsidP="009F4A22">
            <w:pPr>
              <w:rPr>
                <w:rFonts w:ascii="Arial" w:hAnsi="Arial" w:cs="Arial"/>
                <w:b/>
                <w:smallCaps/>
                <w:sz w:val="10"/>
                <w:szCs w:val="16"/>
              </w:rPr>
            </w:pPr>
          </w:p>
          <w:p w14:paraId="55DCDDED" w14:textId="77777777" w:rsidR="009F4A22" w:rsidRDefault="009F4A22" w:rsidP="009F4A22">
            <w:pPr>
              <w:rPr>
                <w:rFonts w:ascii="Arial" w:hAnsi="Arial" w:cs="Arial"/>
                <w:b/>
                <w:smallCaps/>
                <w:sz w:val="18"/>
              </w:rPr>
            </w:pPr>
            <w:r w:rsidRPr="000E257B">
              <w:rPr>
                <w:rFonts w:ascii="Arial" w:hAnsi="Arial" w:cs="Arial"/>
                <w:b/>
                <w:smallCaps/>
                <w:sz w:val="18"/>
              </w:rPr>
              <w:t xml:space="preserve">Professional </w:t>
            </w:r>
            <w:r>
              <w:rPr>
                <w:rFonts w:ascii="Arial" w:hAnsi="Arial" w:cs="Arial"/>
                <w:b/>
                <w:smallCaps/>
                <w:sz w:val="18"/>
              </w:rPr>
              <w:t>M</w:t>
            </w:r>
            <w:r w:rsidRPr="000E257B">
              <w:rPr>
                <w:rFonts w:ascii="Arial" w:hAnsi="Arial" w:cs="Arial"/>
                <w:b/>
                <w:smallCaps/>
                <w:sz w:val="18"/>
              </w:rPr>
              <w:t>embership</w:t>
            </w:r>
          </w:p>
          <w:p w14:paraId="07902C45" w14:textId="15D98C02" w:rsidR="00B95D05" w:rsidRPr="00B95D05" w:rsidRDefault="00B95D05" w:rsidP="009F4A22">
            <w:pPr>
              <w:rPr>
                <w:rFonts w:ascii="Arial" w:hAnsi="Arial" w:cs="Arial"/>
                <w:b/>
                <w:smallCaps/>
                <w:sz w:val="10"/>
                <w:szCs w:val="16"/>
                <w:lang w:val="af-ZA"/>
              </w:rPr>
            </w:pPr>
          </w:p>
        </w:tc>
        <w:tc>
          <w:tcPr>
            <w:tcW w:w="7020" w:type="dxa"/>
            <w:tcBorders>
              <w:top w:val="single" w:sz="4" w:space="0" w:color="auto"/>
              <w:left w:val="single" w:sz="4" w:space="0" w:color="auto"/>
              <w:bottom w:val="single" w:sz="4" w:space="0" w:color="auto"/>
              <w:right w:val="single" w:sz="4" w:space="0" w:color="auto"/>
            </w:tcBorders>
            <w:vAlign w:val="center"/>
          </w:tcPr>
          <w:p w14:paraId="7E29D3D3" w14:textId="77777777" w:rsidR="009D7953" w:rsidRPr="009D7953" w:rsidRDefault="009D7953" w:rsidP="009D7953">
            <w:pPr>
              <w:spacing w:line="264" w:lineRule="auto"/>
              <w:jc w:val="both"/>
              <w:rPr>
                <w:rFonts w:ascii="Arial" w:hAnsi="Arial" w:cs="Arial"/>
                <w:sz w:val="10"/>
                <w:szCs w:val="10"/>
              </w:rPr>
            </w:pPr>
          </w:p>
          <w:p w14:paraId="57F911E5" w14:textId="257E6D0A" w:rsidR="00B94098" w:rsidRPr="00B94098" w:rsidRDefault="00B94098" w:rsidP="007944E8">
            <w:pPr>
              <w:pStyle w:val="ListParagraph"/>
              <w:numPr>
                <w:ilvl w:val="0"/>
                <w:numId w:val="26"/>
              </w:numPr>
              <w:spacing w:line="264" w:lineRule="auto"/>
              <w:ind w:left="342" w:hanging="270"/>
              <w:jc w:val="both"/>
              <w:rPr>
                <w:rFonts w:ascii="Arial" w:hAnsi="Arial" w:cs="Arial"/>
                <w:sz w:val="18"/>
                <w:szCs w:val="18"/>
              </w:rPr>
            </w:pPr>
            <w:r>
              <w:rPr>
                <w:rFonts w:ascii="Arial" w:hAnsi="Arial" w:cs="Arial"/>
                <w:sz w:val="18"/>
                <w:szCs w:val="18"/>
              </w:rPr>
              <w:t>MERITAS</w:t>
            </w:r>
            <w:r w:rsidRPr="00B94098">
              <w:rPr>
                <w:rFonts w:ascii="Arial" w:hAnsi="Arial" w:cs="Arial"/>
                <w:sz w:val="18"/>
                <w:szCs w:val="18"/>
              </w:rPr>
              <w:t xml:space="preserve"> Emerging Leaders Advisory Board (ELAB)</w:t>
            </w:r>
            <w:r>
              <w:rPr>
                <w:rFonts w:ascii="Arial" w:hAnsi="Arial" w:cs="Arial"/>
                <w:sz w:val="18"/>
                <w:szCs w:val="18"/>
              </w:rPr>
              <w:t xml:space="preserve"> (2025-2028)</w:t>
            </w:r>
          </w:p>
          <w:p w14:paraId="74771771" w14:textId="0187F61B" w:rsidR="00BA51AA" w:rsidRPr="00BA51AA" w:rsidRDefault="00BA51AA" w:rsidP="007944E8">
            <w:pPr>
              <w:pStyle w:val="ListParagraph"/>
              <w:numPr>
                <w:ilvl w:val="0"/>
                <w:numId w:val="26"/>
              </w:numPr>
              <w:spacing w:line="264" w:lineRule="auto"/>
              <w:ind w:left="342" w:hanging="270"/>
              <w:jc w:val="both"/>
              <w:rPr>
                <w:rFonts w:ascii="Arial" w:hAnsi="Arial" w:cs="Arial"/>
                <w:sz w:val="6"/>
                <w:szCs w:val="6"/>
              </w:rPr>
            </w:pPr>
            <w:r w:rsidRPr="00BA51AA">
              <w:rPr>
                <w:rFonts w:ascii="Arial" w:hAnsi="Arial" w:cs="Arial"/>
                <w:sz w:val="18"/>
                <w:szCs w:val="18"/>
              </w:rPr>
              <w:t>Director of International Education &amp; Seminar of the Congress of Indonesian Advocates (</w:t>
            </w:r>
            <w:proofErr w:type="spellStart"/>
            <w:r w:rsidRPr="00BA51AA">
              <w:rPr>
                <w:rFonts w:ascii="Arial" w:hAnsi="Arial" w:cs="Arial"/>
                <w:i/>
                <w:iCs/>
                <w:sz w:val="18"/>
                <w:szCs w:val="18"/>
              </w:rPr>
              <w:t>Kongres</w:t>
            </w:r>
            <w:proofErr w:type="spellEnd"/>
            <w:r w:rsidRPr="00BA51AA">
              <w:rPr>
                <w:rFonts w:ascii="Arial" w:hAnsi="Arial" w:cs="Arial"/>
                <w:i/>
                <w:iCs/>
                <w:sz w:val="18"/>
                <w:szCs w:val="18"/>
              </w:rPr>
              <w:t xml:space="preserve"> </w:t>
            </w:r>
            <w:proofErr w:type="spellStart"/>
            <w:r w:rsidRPr="00BA51AA">
              <w:rPr>
                <w:rFonts w:ascii="Arial" w:hAnsi="Arial" w:cs="Arial"/>
                <w:i/>
                <w:iCs/>
                <w:sz w:val="18"/>
                <w:szCs w:val="18"/>
              </w:rPr>
              <w:t>Advokat</w:t>
            </w:r>
            <w:proofErr w:type="spellEnd"/>
            <w:r w:rsidRPr="00BA51AA">
              <w:rPr>
                <w:rFonts w:ascii="Arial" w:hAnsi="Arial" w:cs="Arial"/>
                <w:i/>
                <w:iCs/>
                <w:sz w:val="18"/>
                <w:szCs w:val="18"/>
              </w:rPr>
              <w:t xml:space="preserve"> Indonesia</w:t>
            </w:r>
            <w:r w:rsidRPr="00BA51AA">
              <w:rPr>
                <w:rFonts w:ascii="Arial" w:hAnsi="Arial" w:cs="Arial"/>
                <w:sz w:val="18"/>
                <w:szCs w:val="18"/>
              </w:rPr>
              <w:t> – KAI) (2024-2029)</w:t>
            </w:r>
            <w:r>
              <w:rPr>
                <w:rFonts w:ascii="Arial" w:hAnsi="Arial" w:cs="Arial"/>
                <w:sz w:val="18"/>
                <w:szCs w:val="18"/>
              </w:rPr>
              <w:t>.</w:t>
            </w:r>
          </w:p>
          <w:p w14:paraId="7931C79B" w14:textId="4115980E" w:rsidR="007944E8" w:rsidRPr="007944E8" w:rsidRDefault="007944E8" w:rsidP="007944E8">
            <w:pPr>
              <w:pStyle w:val="ListParagraph"/>
              <w:numPr>
                <w:ilvl w:val="0"/>
                <w:numId w:val="26"/>
              </w:numPr>
              <w:spacing w:line="264" w:lineRule="auto"/>
              <w:ind w:left="342" w:hanging="270"/>
              <w:jc w:val="both"/>
              <w:rPr>
                <w:rFonts w:ascii="Arial" w:hAnsi="Arial" w:cs="Arial"/>
                <w:sz w:val="6"/>
                <w:szCs w:val="6"/>
              </w:rPr>
            </w:pPr>
            <w:r>
              <w:rPr>
                <w:rFonts w:ascii="Arial" w:hAnsi="Arial" w:cs="Arial"/>
                <w:sz w:val="18"/>
                <w:szCs w:val="18"/>
              </w:rPr>
              <w:t>MERITAS Emerging Leader.</w:t>
            </w:r>
          </w:p>
          <w:p w14:paraId="651D19F2" w14:textId="1993F58A" w:rsidR="009F4A22" w:rsidRPr="00DD0D2F" w:rsidRDefault="007944E8" w:rsidP="007944E8">
            <w:pPr>
              <w:pStyle w:val="ListParagraph"/>
              <w:numPr>
                <w:ilvl w:val="0"/>
                <w:numId w:val="26"/>
              </w:numPr>
              <w:spacing w:line="264" w:lineRule="auto"/>
              <w:ind w:left="342" w:hanging="270"/>
              <w:jc w:val="both"/>
              <w:rPr>
                <w:rFonts w:ascii="Arial" w:hAnsi="Arial" w:cs="Arial"/>
                <w:sz w:val="6"/>
                <w:szCs w:val="6"/>
              </w:rPr>
            </w:pPr>
            <w:r w:rsidRPr="007944E8">
              <w:rPr>
                <w:rFonts w:ascii="Arial" w:hAnsi="Arial" w:cs="Arial"/>
                <w:color w:val="000000" w:themeColor="text1"/>
                <w:sz w:val="18"/>
                <w:szCs w:val="18"/>
              </w:rPr>
              <w:t>A Licensed Advocate and member of The Congress of Indonesian Advocates (</w:t>
            </w:r>
            <w:proofErr w:type="spellStart"/>
            <w:r w:rsidRPr="007944E8">
              <w:rPr>
                <w:rFonts w:ascii="Arial" w:hAnsi="Arial" w:cs="Arial"/>
                <w:i/>
                <w:color w:val="000000" w:themeColor="text1"/>
                <w:sz w:val="18"/>
                <w:szCs w:val="18"/>
              </w:rPr>
              <w:t>Kongres</w:t>
            </w:r>
            <w:proofErr w:type="spellEnd"/>
            <w:r w:rsidRPr="007944E8">
              <w:rPr>
                <w:rFonts w:ascii="Arial" w:hAnsi="Arial" w:cs="Arial"/>
                <w:i/>
                <w:color w:val="000000" w:themeColor="text1"/>
                <w:sz w:val="18"/>
                <w:szCs w:val="18"/>
              </w:rPr>
              <w:t xml:space="preserve"> </w:t>
            </w:r>
            <w:proofErr w:type="spellStart"/>
            <w:r w:rsidRPr="007944E8">
              <w:rPr>
                <w:rFonts w:ascii="Arial" w:hAnsi="Arial" w:cs="Arial"/>
                <w:i/>
                <w:color w:val="000000" w:themeColor="text1"/>
                <w:sz w:val="18"/>
                <w:szCs w:val="18"/>
              </w:rPr>
              <w:t>Advokat</w:t>
            </w:r>
            <w:proofErr w:type="spellEnd"/>
            <w:r w:rsidRPr="007944E8">
              <w:rPr>
                <w:rFonts w:ascii="Arial" w:hAnsi="Arial" w:cs="Arial"/>
                <w:i/>
                <w:color w:val="000000" w:themeColor="text1"/>
                <w:sz w:val="18"/>
                <w:szCs w:val="18"/>
              </w:rPr>
              <w:t xml:space="preserve"> Indonesia – </w:t>
            </w:r>
            <w:r w:rsidRPr="007944E8">
              <w:rPr>
                <w:rFonts w:ascii="Arial" w:hAnsi="Arial" w:cs="Arial"/>
                <w:color w:val="000000" w:themeColor="text1"/>
                <w:sz w:val="18"/>
                <w:szCs w:val="18"/>
              </w:rPr>
              <w:t>KAI).</w:t>
            </w:r>
          </w:p>
          <w:p w14:paraId="4D62EB8D" w14:textId="54815DE0" w:rsidR="009D7953" w:rsidRPr="009D7953" w:rsidRDefault="00901A4E" w:rsidP="009D7953">
            <w:pPr>
              <w:pStyle w:val="ListParagraph"/>
              <w:numPr>
                <w:ilvl w:val="0"/>
                <w:numId w:val="26"/>
              </w:numPr>
              <w:spacing w:line="264" w:lineRule="auto"/>
              <w:ind w:left="342" w:hanging="270"/>
              <w:jc w:val="both"/>
              <w:rPr>
                <w:rFonts w:ascii="Arial" w:hAnsi="Arial" w:cs="Arial"/>
                <w:sz w:val="6"/>
                <w:szCs w:val="6"/>
              </w:rPr>
            </w:pPr>
            <w:r w:rsidRPr="00EC5FCE">
              <w:rPr>
                <w:rFonts w:ascii="Arial" w:hAnsi="Arial" w:cs="Arial"/>
                <w:color w:val="000000" w:themeColor="text1"/>
                <w:sz w:val="18"/>
                <w:szCs w:val="18"/>
              </w:rPr>
              <w:t>Indonesian Labor Law Consultant Association (</w:t>
            </w:r>
            <w:proofErr w:type="spellStart"/>
            <w:r w:rsidRPr="00EC5FCE">
              <w:rPr>
                <w:rFonts w:ascii="Arial" w:hAnsi="Arial" w:cs="Arial"/>
                <w:i/>
                <w:iCs/>
                <w:color w:val="000000" w:themeColor="text1"/>
                <w:sz w:val="18"/>
                <w:szCs w:val="18"/>
              </w:rPr>
              <w:t>Himpunan</w:t>
            </w:r>
            <w:proofErr w:type="spellEnd"/>
            <w:r w:rsidRPr="00EC5FCE">
              <w:rPr>
                <w:rFonts w:ascii="Arial" w:hAnsi="Arial" w:cs="Arial"/>
                <w:i/>
                <w:iCs/>
                <w:color w:val="000000" w:themeColor="text1"/>
                <w:sz w:val="18"/>
                <w:szCs w:val="18"/>
              </w:rPr>
              <w:t xml:space="preserve"> </w:t>
            </w:r>
            <w:proofErr w:type="spellStart"/>
            <w:r w:rsidRPr="00EC5FCE">
              <w:rPr>
                <w:rFonts w:ascii="Arial" w:hAnsi="Arial" w:cs="Arial"/>
                <w:i/>
                <w:iCs/>
                <w:color w:val="000000" w:themeColor="text1"/>
                <w:sz w:val="18"/>
                <w:szCs w:val="18"/>
              </w:rPr>
              <w:t>Konsultan</w:t>
            </w:r>
            <w:proofErr w:type="spellEnd"/>
            <w:r w:rsidRPr="00EC5FCE">
              <w:rPr>
                <w:rFonts w:ascii="Arial" w:hAnsi="Arial" w:cs="Arial"/>
                <w:i/>
                <w:iCs/>
                <w:color w:val="000000" w:themeColor="text1"/>
                <w:sz w:val="18"/>
                <w:szCs w:val="18"/>
              </w:rPr>
              <w:t xml:space="preserve"> Hukum </w:t>
            </w:r>
            <w:proofErr w:type="spellStart"/>
            <w:r w:rsidRPr="00EC5FCE">
              <w:rPr>
                <w:rFonts w:ascii="Arial" w:hAnsi="Arial" w:cs="Arial"/>
                <w:i/>
                <w:iCs/>
                <w:color w:val="000000" w:themeColor="text1"/>
                <w:sz w:val="18"/>
                <w:szCs w:val="18"/>
              </w:rPr>
              <w:t>Ketenagakerjaan</w:t>
            </w:r>
            <w:proofErr w:type="spellEnd"/>
            <w:r w:rsidRPr="00EC5FCE">
              <w:rPr>
                <w:rFonts w:ascii="Arial" w:hAnsi="Arial" w:cs="Arial"/>
                <w:i/>
                <w:iCs/>
                <w:color w:val="000000" w:themeColor="text1"/>
                <w:sz w:val="18"/>
                <w:szCs w:val="18"/>
              </w:rPr>
              <w:t xml:space="preserve"> Indonesia</w:t>
            </w:r>
            <w:r w:rsidRPr="00EC5FCE">
              <w:rPr>
                <w:rFonts w:ascii="Arial" w:hAnsi="Arial" w:cs="Arial"/>
                <w:color w:val="000000" w:themeColor="text1"/>
                <w:sz w:val="18"/>
                <w:szCs w:val="18"/>
              </w:rPr>
              <w:t> </w:t>
            </w:r>
            <w:r w:rsidRPr="00EC5FCE">
              <w:rPr>
                <w:rFonts w:ascii="Arial" w:hAnsi="Arial" w:cs="Arial"/>
                <w:i/>
                <w:iCs/>
                <w:color w:val="000000" w:themeColor="text1"/>
                <w:sz w:val="18"/>
                <w:szCs w:val="18"/>
              </w:rPr>
              <w:t>–</w:t>
            </w:r>
            <w:r w:rsidRPr="00EC5FCE">
              <w:rPr>
                <w:rFonts w:ascii="Arial" w:hAnsi="Arial" w:cs="Arial"/>
                <w:color w:val="000000" w:themeColor="text1"/>
                <w:sz w:val="18"/>
                <w:szCs w:val="18"/>
              </w:rPr>
              <w:t> HKHKI</w:t>
            </w:r>
            <w:r>
              <w:rPr>
                <w:rFonts w:ascii="Arial" w:hAnsi="Arial" w:cs="Arial"/>
                <w:color w:val="000000" w:themeColor="text1"/>
                <w:sz w:val="18"/>
                <w:szCs w:val="18"/>
              </w:rPr>
              <w:t>).</w:t>
            </w:r>
          </w:p>
          <w:p w14:paraId="1CA6D33D" w14:textId="4FFE2D4F" w:rsidR="00901A4E" w:rsidRPr="009D7953" w:rsidRDefault="00901A4E" w:rsidP="00DD0D2F">
            <w:pPr>
              <w:spacing w:line="264" w:lineRule="auto"/>
              <w:ind w:left="72"/>
              <w:jc w:val="both"/>
              <w:rPr>
                <w:rFonts w:ascii="Arial" w:hAnsi="Arial" w:cs="Arial"/>
                <w:sz w:val="10"/>
                <w:szCs w:val="10"/>
              </w:rPr>
            </w:pPr>
          </w:p>
        </w:tc>
      </w:tr>
      <w:tr w:rsidR="000F45EB" w14:paraId="07DF09D8" w14:textId="77777777" w:rsidTr="009F4A22">
        <w:tblPrEx>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2895C7E" w14:textId="77777777" w:rsidR="000F45EB" w:rsidRDefault="000F45EB" w:rsidP="009F4A22">
            <w:pPr>
              <w:rPr>
                <w:rFonts w:ascii="Arial" w:hAnsi="Arial" w:cs="Arial"/>
                <w:b/>
                <w:smallCaps/>
                <w:sz w:val="10"/>
                <w:szCs w:val="16"/>
              </w:rPr>
            </w:pPr>
          </w:p>
          <w:p w14:paraId="78A37F99" w14:textId="77777777" w:rsidR="000F45EB" w:rsidRDefault="000F45EB" w:rsidP="000F45EB">
            <w:pPr>
              <w:pStyle w:val="Default"/>
              <w:rPr>
                <w:sz w:val="14"/>
                <w:szCs w:val="14"/>
              </w:rPr>
            </w:pPr>
            <w:r>
              <w:rPr>
                <w:b/>
                <w:bCs/>
                <w:sz w:val="18"/>
                <w:szCs w:val="18"/>
              </w:rPr>
              <w:t>C</w:t>
            </w:r>
            <w:r>
              <w:rPr>
                <w:b/>
                <w:bCs/>
                <w:sz w:val="14"/>
                <w:szCs w:val="14"/>
              </w:rPr>
              <w:t>ONFERENCES</w:t>
            </w:r>
            <w:r>
              <w:rPr>
                <w:b/>
                <w:bCs/>
                <w:sz w:val="18"/>
                <w:szCs w:val="18"/>
              </w:rPr>
              <w:t>/S</w:t>
            </w:r>
            <w:r>
              <w:rPr>
                <w:b/>
                <w:bCs/>
                <w:sz w:val="14"/>
                <w:szCs w:val="14"/>
              </w:rPr>
              <w:t>EMINARS</w:t>
            </w:r>
            <w:r>
              <w:rPr>
                <w:b/>
                <w:bCs/>
                <w:sz w:val="18"/>
                <w:szCs w:val="18"/>
              </w:rPr>
              <w:t>/O</w:t>
            </w:r>
            <w:r>
              <w:rPr>
                <w:b/>
                <w:bCs/>
                <w:sz w:val="14"/>
                <w:szCs w:val="14"/>
              </w:rPr>
              <w:t xml:space="preserve">THER </w:t>
            </w:r>
            <w:r>
              <w:rPr>
                <w:b/>
                <w:bCs/>
                <w:sz w:val="18"/>
                <w:szCs w:val="18"/>
              </w:rPr>
              <w:t>T</w:t>
            </w:r>
            <w:r>
              <w:rPr>
                <w:b/>
                <w:bCs/>
                <w:sz w:val="14"/>
                <w:szCs w:val="14"/>
              </w:rPr>
              <w:t xml:space="preserve">RAININGS </w:t>
            </w:r>
          </w:p>
          <w:p w14:paraId="554C4F83" w14:textId="77777777" w:rsidR="000F45EB" w:rsidRPr="00B95D05" w:rsidRDefault="000F45EB" w:rsidP="009F4A22">
            <w:pPr>
              <w:rPr>
                <w:rFonts w:ascii="Arial" w:hAnsi="Arial" w:cs="Arial"/>
                <w:b/>
                <w:smallCaps/>
                <w:sz w:val="10"/>
                <w:szCs w:val="16"/>
              </w:rPr>
            </w:pPr>
          </w:p>
        </w:tc>
        <w:tc>
          <w:tcPr>
            <w:tcW w:w="7020" w:type="dxa"/>
            <w:tcBorders>
              <w:top w:val="single" w:sz="4" w:space="0" w:color="auto"/>
              <w:left w:val="single" w:sz="4" w:space="0" w:color="auto"/>
              <w:bottom w:val="single" w:sz="4" w:space="0" w:color="auto"/>
              <w:right w:val="single" w:sz="4" w:space="0" w:color="auto"/>
            </w:tcBorders>
            <w:vAlign w:val="center"/>
          </w:tcPr>
          <w:p w14:paraId="2CBD95C4" w14:textId="77777777" w:rsidR="00BA7226" w:rsidRPr="00BA7226" w:rsidRDefault="00BA7226" w:rsidP="00BA7226">
            <w:pPr>
              <w:pStyle w:val="ListParagraph"/>
              <w:spacing w:line="264" w:lineRule="auto"/>
              <w:ind w:left="342"/>
              <w:jc w:val="both"/>
              <w:rPr>
                <w:rFonts w:ascii="Arial" w:hAnsi="Arial" w:cs="Arial"/>
                <w:sz w:val="10"/>
                <w:szCs w:val="10"/>
              </w:rPr>
            </w:pPr>
          </w:p>
          <w:p w14:paraId="534A92D3" w14:textId="6AFDFC1B" w:rsidR="00BA7226" w:rsidRPr="00BA7226" w:rsidRDefault="00BA7226" w:rsidP="00BA7226">
            <w:pPr>
              <w:pStyle w:val="ListParagraph"/>
              <w:numPr>
                <w:ilvl w:val="0"/>
                <w:numId w:val="26"/>
              </w:numPr>
              <w:spacing w:line="264" w:lineRule="auto"/>
              <w:ind w:left="342" w:hanging="270"/>
              <w:jc w:val="both"/>
              <w:rPr>
                <w:rFonts w:ascii="Arial" w:hAnsi="Arial" w:cs="Arial"/>
                <w:sz w:val="6"/>
                <w:szCs w:val="6"/>
              </w:rPr>
            </w:pPr>
            <w:r>
              <w:rPr>
                <w:rFonts w:ascii="Arial" w:hAnsi="Arial" w:cs="Arial"/>
                <w:color w:val="000000" w:themeColor="text1"/>
                <w:sz w:val="18"/>
                <w:szCs w:val="18"/>
              </w:rPr>
              <w:t xml:space="preserve">Speaker </w:t>
            </w:r>
            <w:r w:rsidRPr="00BA7226">
              <w:rPr>
                <w:rFonts w:ascii="Arial" w:hAnsi="Arial" w:cs="Arial"/>
                <w:color w:val="000000" w:themeColor="text1"/>
                <w:sz w:val="18"/>
                <w:szCs w:val="18"/>
              </w:rPr>
              <w:t>at ET-Asia Intensive Course: Understanding Digital Law in Practice on “Personal Data Protection in Digital Activities and Accountability for Personal Data Breach Incidents (2025).</w:t>
            </w:r>
          </w:p>
          <w:p w14:paraId="576C5346" w14:textId="77777777" w:rsidR="000F45EB" w:rsidRPr="00BA7226" w:rsidRDefault="00BA7226" w:rsidP="00BA7226">
            <w:pPr>
              <w:pStyle w:val="ListParagraph"/>
              <w:numPr>
                <w:ilvl w:val="0"/>
                <w:numId w:val="26"/>
              </w:numPr>
              <w:spacing w:line="264" w:lineRule="auto"/>
              <w:ind w:left="342" w:hanging="270"/>
              <w:jc w:val="both"/>
              <w:rPr>
                <w:rFonts w:ascii="Arial" w:hAnsi="Arial" w:cs="Arial"/>
                <w:sz w:val="6"/>
                <w:szCs w:val="6"/>
              </w:rPr>
            </w:pPr>
            <w:r>
              <w:rPr>
                <w:rFonts w:ascii="Arial" w:hAnsi="Arial" w:cs="Arial"/>
                <w:color w:val="000000" w:themeColor="text1"/>
                <w:sz w:val="18"/>
                <w:szCs w:val="18"/>
              </w:rPr>
              <w:t>Judge</w:t>
            </w:r>
            <w:r>
              <w:rPr>
                <w:rFonts w:ascii="Arial" w:hAnsi="Arial" w:cs="Arial"/>
                <w:i/>
                <w:iCs/>
                <w:color w:val="000000" w:themeColor="text1"/>
                <w:sz w:val="18"/>
                <w:szCs w:val="18"/>
              </w:rPr>
              <w:t xml:space="preserve"> </w:t>
            </w:r>
            <w:r w:rsidRPr="00F669B3">
              <w:rPr>
                <w:rFonts w:ascii="Arial" w:hAnsi="Arial" w:cs="Arial"/>
                <w:color w:val="000000" w:themeColor="text1"/>
                <w:sz w:val="18"/>
                <w:szCs w:val="18"/>
              </w:rPr>
              <w:t>for Contract Drafting Competition “Strengthening the Role of Foreign Investors in the Development of Electric Vehicle in Indonesia” held by Atma Jaya Business Law Society, University of Atma Jaya, Jakarta, Indonesia (2022).</w:t>
            </w:r>
          </w:p>
          <w:p w14:paraId="6B932AD4" w14:textId="03F1B6C9" w:rsidR="00BA7226" w:rsidRPr="00BA7226" w:rsidRDefault="00BA7226" w:rsidP="00BA7226">
            <w:pPr>
              <w:pStyle w:val="ListParagraph"/>
              <w:spacing w:line="264" w:lineRule="auto"/>
              <w:ind w:left="342"/>
              <w:jc w:val="both"/>
              <w:rPr>
                <w:rFonts w:ascii="Arial" w:hAnsi="Arial" w:cs="Arial"/>
                <w:sz w:val="10"/>
                <w:szCs w:val="10"/>
              </w:rPr>
            </w:pPr>
          </w:p>
        </w:tc>
      </w:tr>
      <w:tr w:rsidR="000D2920" w14:paraId="31F26EE4" w14:textId="77777777" w:rsidTr="009F4A22">
        <w:tblPrEx>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469490C" w14:textId="77777777" w:rsidR="000D2920" w:rsidRPr="000D2920" w:rsidRDefault="000D2920" w:rsidP="009F4A22">
            <w:pPr>
              <w:rPr>
                <w:rFonts w:ascii="Arial Bold" w:hAnsi="Arial Bold" w:cs="Arial"/>
                <w:b/>
                <w:smallCaps/>
                <w:sz w:val="10"/>
                <w:szCs w:val="16"/>
              </w:rPr>
            </w:pPr>
          </w:p>
          <w:p w14:paraId="062449EC" w14:textId="6BC40FCF" w:rsidR="000D2920" w:rsidRPr="000D2920" w:rsidRDefault="000D2920" w:rsidP="000D2920">
            <w:pPr>
              <w:pStyle w:val="Default"/>
              <w:rPr>
                <w:rFonts w:ascii="Arial Bold" w:hAnsi="Arial Bold"/>
                <w:smallCaps/>
                <w:sz w:val="14"/>
                <w:szCs w:val="14"/>
              </w:rPr>
            </w:pPr>
            <w:r w:rsidRPr="000D2920">
              <w:rPr>
                <w:rFonts w:ascii="Arial Bold" w:hAnsi="Arial Bold"/>
                <w:b/>
                <w:bCs/>
                <w:smallCaps/>
                <w:sz w:val="18"/>
                <w:szCs w:val="18"/>
              </w:rPr>
              <w:t>A</w:t>
            </w:r>
            <w:r w:rsidR="00DF23D2">
              <w:rPr>
                <w:rFonts w:ascii="Arial Bold" w:hAnsi="Arial Bold"/>
                <w:b/>
                <w:bCs/>
                <w:smallCaps/>
                <w:sz w:val="18"/>
                <w:szCs w:val="18"/>
              </w:rPr>
              <w:t>ccolade</w:t>
            </w:r>
            <w:r w:rsidR="008C2DAB">
              <w:rPr>
                <w:rFonts w:ascii="Arial Bold" w:hAnsi="Arial Bold"/>
                <w:b/>
                <w:bCs/>
                <w:smallCaps/>
                <w:sz w:val="18"/>
                <w:szCs w:val="18"/>
              </w:rPr>
              <w:t>s</w:t>
            </w:r>
          </w:p>
          <w:p w14:paraId="61F27281" w14:textId="77777777" w:rsidR="000D2920" w:rsidRPr="000D2920" w:rsidRDefault="000D2920" w:rsidP="009F4A22">
            <w:pPr>
              <w:rPr>
                <w:rFonts w:ascii="Arial Bold" w:hAnsi="Arial Bold" w:cs="Arial"/>
                <w:b/>
                <w:smallCaps/>
                <w:sz w:val="10"/>
                <w:szCs w:val="16"/>
              </w:rPr>
            </w:pPr>
          </w:p>
        </w:tc>
        <w:tc>
          <w:tcPr>
            <w:tcW w:w="7020" w:type="dxa"/>
            <w:tcBorders>
              <w:top w:val="single" w:sz="4" w:space="0" w:color="auto"/>
              <w:left w:val="single" w:sz="4" w:space="0" w:color="auto"/>
              <w:bottom w:val="single" w:sz="4" w:space="0" w:color="auto"/>
              <w:right w:val="single" w:sz="4" w:space="0" w:color="auto"/>
            </w:tcBorders>
            <w:vAlign w:val="center"/>
          </w:tcPr>
          <w:p w14:paraId="3771DAFC" w14:textId="77777777" w:rsidR="009D7953" w:rsidRPr="009D7953" w:rsidRDefault="009D7953" w:rsidP="009D7953">
            <w:pPr>
              <w:spacing w:line="264" w:lineRule="auto"/>
              <w:jc w:val="both"/>
              <w:rPr>
                <w:rFonts w:ascii="Arial" w:hAnsi="Arial" w:cs="Arial"/>
                <w:sz w:val="10"/>
                <w:szCs w:val="10"/>
              </w:rPr>
            </w:pPr>
          </w:p>
          <w:p w14:paraId="292DE867" w14:textId="210411F0" w:rsidR="00566415" w:rsidRPr="00B937B7" w:rsidRDefault="00566415" w:rsidP="00B937B7">
            <w:pPr>
              <w:pStyle w:val="ListParagraph"/>
              <w:numPr>
                <w:ilvl w:val="0"/>
                <w:numId w:val="32"/>
              </w:numPr>
              <w:spacing w:line="264" w:lineRule="auto"/>
              <w:ind w:left="459"/>
              <w:jc w:val="both"/>
              <w:rPr>
                <w:rFonts w:ascii="Arial" w:hAnsi="Arial" w:cs="Arial"/>
                <w:sz w:val="18"/>
                <w:szCs w:val="18"/>
              </w:rPr>
            </w:pPr>
            <w:proofErr w:type="spellStart"/>
            <w:r w:rsidRPr="00B937B7">
              <w:rPr>
                <w:rFonts w:ascii="Arial" w:hAnsi="Arial" w:cs="Arial"/>
                <w:sz w:val="18"/>
                <w:szCs w:val="18"/>
              </w:rPr>
              <w:t>Asialaw</w:t>
            </w:r>
            <w:proofErr w:type="spellEnd"/>
            <w:r w:rsidRPr="00B937B7">
              <w:rPr>
                <w:rFonts w:ascii="Arial" w:hAnsi="Arial" w:cs="Arial"/>
                <w:sz w:val="18"/>
                <w:szCs w:val="18"/>
              </w:rPr>
              <w:t xml:space="preserve"> – Notable Practitioner in Corporate</w:t>
            </w:r>
            <w:r w:rsidR="00E00388" w:rsidRPr="00B937B7">
              <w:rPr>
                <w:rFonts w:ascii="Arial" w:hAnsi="Arial" w:cs="Arial"/>
                <w:sz w:val="18"/>
                <w:szCs w:val="18"/>
              </w:rPr>
              <w:t xml:space="preserve"> and M&amp;A </w:t>
            </w:r>
            <w:r w:rsidRPr="00B937B7">
              <w:rPr>
                <w:rFonts w:ascii="Arial" w:hAnsi="Arial" w:cs="Arial"/>
                <w:sz w:val="18"/>
                <w:szCs w:val="18"/>
              </w:rPr>
              <w:t>(2025)</w:t>
            </w:r>
            <w:r w:rsidR="00365E7A">
              <w:rPr>
                <w:rFonts w:ascii="Arial" w:hAnsi="Arial" w:cs="Arial"/>
                <w:sz w:val="18"/>
                <w:szCs w:val="18"/>
              </w:rPr>
              <w:t>.</w:t>
            </w:r>
          </w:p>
          <w:p w14:paraId="4975E823" w14:textId="77777777" w:rsidR="00566415" w:rsidRPr="00566415" w:rsidRDefault="00566415" w:rsidP="00566415">
            <w:pPr>
              <w:pStyle w:val="ListParagraph"/>
              <w:spacing w:line="264" w:lineRule="auto"/>
              <w:jc w:val="both"/>
              <w:rPr>
                <w:rFonts w:ascii="Arial" w:hAnsi="Arial" w:cs="Arial"/>
                <w:sz w:val="6"/>
                <w:szCs w:val="6"/>
              </w:rPr>
            </w:pPr>
          </w:p>
          <w:p w14:paraId="2D7D4676" w14:textId="57A3FEE1" w:rsidR="009D7953" w:rsidRPr="00405AF4" w:rsidRDefault="009D7953" w:rsidP="00B937B7">
            <w:pPr>
              <w:pStyle w:val="ListParagraph"/>
              <w:numPr>
                <w:ilvl w:val="0"/>
                <w:numId w:val="26"/>
              </w:numPr>
              <w:spacing w:line="264" w:lineRule="auto"/>
              <w:ind w:left="459"/>
              <w:jc w:val="both"/>
              <w:rPr>
                <w:rFonts w:ascii="Arial" w:hAnsi="Arial" w:cs="Arial"/>
                <w:sz w:val="6"/>
                <w:szCs w:val="6"/>
              </w:rPr>
            </w:pPr>
            <w:proofErr w:type="spellStart"/>
            <w:r w:rsidRPr="003A6AB9">
              <w:rPr>
                <w:rFonts w:ascii="Arial" w:hAnsi="Arial" w:cs="Arial"/>
                <w:color w:val="000000" w:themeColor="text1"/>
                <w:sz w:val="18"/>
                <w:szCs w:val="18"/>
              </w:rPr>
              <w:lastRenderedPageBreak/>
              <w:t>Hukumonline</w:t>
            </w:r>
            <w:proofErr w:type="spellEnd"/>
            <w:r w:rsidRPr="003A6AB9">
              <w:rPr>
                <w:rFonts w:ascii="Arial" w:hAnsi="Arial" w:cs="Arial"/>
                <w:color w:val="000000" w:themeColor="text1"/>
                <w:sz w:val="18"/>
                <w:szCs w:val="18"/>
              </w:rPr>
              <w:t xml:space="preserve"> Practice Leaders Awards – in Practice Group:</w:t>
            </w:r>
            <w:r>
              <w:rPr>
                <w:rFonts w:ascii="Arial" w:hAnsi="Arial" w:cs="Arial"/>
                <w:color w:val="000000" w:themeColor="text1"/>
                <w:sz w:val="18"/>
                <w:szCs w:val="18"/>
              </w:rPr>
              <w:t xml:space="preserve"> </w:t>
            </w:r>
            <w:r w:rsidRPr="009D7953">
              <w:rPr>
                <w:rFonts w:ascii="Arial" w:hAnsi="Arial" w:cs="Arial"/>
                <w:color w:val="000000" w:themeColor="text1"/>
                <w:sz w:val="18"/>
                <w:szCs w:val="18"/>
              </w:rPr>
              <w:t>Automotive</w:t>
            </w:r>
            <w:r>
              <w:rPr>
                <w:rFonts w:ascii="Arial" w:hAnsi="Arial" w:cs="Arial"/>
                <w:color w:val="000000" w:themeColor="text1"/>
                <w:sz w:val="18"/>
                <w:szCs w:val="18"/>
              </w:rPr>
              <w:t xml:space="preserve">, </w:t>
            </w:r>
            <w:r w:rsidRPr="009D7953">
              <w:rPr>
                <w:rFonts w:ascii="Arial" w:hAnsi="Arial" w:cs="Arial"/>
                <w:color w:val="000000" w:themeColor="text1"/>
                <w:sz w:val="18"/>
                <w:szCs w:val="18"/>
              </w:rPr>
              <w:t>Insurance</w:t>
            </w:r>
            <w:r>
              <w:rPr>
                <w:rFonts w:ascii="Arial" w:hAnsi="Arial" w:cs="Arial"/>
                <w:color w:val="000000" w:themeColor="text1"/>
                <w:sz w:val="18"/>
                <w:szCs w:val="18"/>
              </w:rPr>
              <w:t xml:space="preserve">, </w:t>
            </w:r>
            <w:r w:rsidRPr="009D7953">
              <w:rPr>
                <w:rFonts w:ascii="Arial" w:hAnsi="Arial" w:cs="Arial"/>
                <w:color w:val="000000" w:themeColor="text1"/>
                <w:sz w:val="18"/>
                <w:szCs w:val="18"/>
              </w:rPr>
              <w:t>Intellectual Property</w:t>
            </w:r>
            <w:r>
              <w:rPr>
                <w:rFonts w:ascii="Arial" w:hAnsi="Arial" w:cs="Arial"/>
                <w:color w:val="000000" w:themeColor="text1"/>
                <w:sz w:val="18"/>
                <w:szCs w:val="18"/>
              </w:rPr>
              <w:t xml:space="preserve">, </w:t>
            </w:r>
            <w:r w:rsidRPr="009D7953">
              <w:rPr>
                <w:rFonts w:ascii="Arial" w:hAnsi="Arial" w:cs="Arial"/>
                <w:color w:val="000000" w:themeColor="text1"/>
                <w:sz w:val="18"/>
                <w:szCs w:val="18"/>
              </w:rPr>
              <w:t>Mergers and Acquisitions (M&amp;A)</w:t>
            </w:r>
            <w:r>
              <w:rPr>
                <w:rFonts w:ascii="Arial" w:hAnsi="Arial" w:cs="Arial"/>
                <w:color w:val="000000" w:themeColor="text1"/>
                <w:sz w:val="18"/>
                <w:szCs w:val="18"/>
              </w:rPr>
              <w:t xml:space="preserve">, </w:t>
            </w:r>
            <w:r w:rsidRPr="009D7953">
              <w:rPr>
                <w:rFonts w:ascii="Arial" w:hAnsi="Arial" w:cs="Arial"/>
                <w:color w:val="000000" w:themeColor="text1"/>
                <w:sz w:val="18"/>
                <w:szCs w:val="18"/>
              </w:rPr>
              <w:t>Property/Real Estate</w:t>
            </w:r>
            <w:r>
              <w:rPr>
                <w:rFonts w:ascii="Arial" w:hAnsi="Arial" w:cs="Arial"/>
                <w:color w:val="000000" w:themeColor="text1"/>
                <w:sz w:val="18"/>
                <w:szCs w:val="18"/>
              </w:rPr>
              <w:t xml:space="preserve">, </w:t>
            </w:r>
            <w:r w:rsidRPr="009D7953">
              <w:rPr>
                <w:rFonts w:ascii="Arial" w:hAnsi="Arial" w:cs="Arial"/>
                <w:color w:val="000000" w:themeColor="text1"/>
                <w:sz w:val="18"/>
                <w:szCs w:val="18"/>
              </w:rPr>
              <w:t>Shipping &amp; Logistics</w:t>
            </w:r>
            <w:r w:rsidRPr="00BD1587">
              <w:rPr>
                <w:rFonts w:ascii="Arial" w:hAnsi="Arial" w:cs="Arial"/>
                <w:color w:val="000000" w:themeColor="text1"/>
                <w:sz w:val="18"/>
                <w:szCs w:val="18"/>
              </w:rPr>
              <w:t xml:space="preserve"> (202</w:t>
            </w:r>
            <w:r>
              <w:rPr>
                <w:rFonts w:ascii="Arial" w:hAnsi="Arial" w:cs="Arial"/>
                <w:color w:val="000000" w:themeColor="text1"/>
                <w:sz w:val="18"/>
                <w:szCs w:val="18"/>
              </w:rPr>
              <w:t>5</w:t>
            </w:r>
            <w:r w:rsidRPr="00BD1587">
              <w:rPr>
                <w:rFonts w:ascii="Arial" w:hAnsi="Arial" w:cs="Arial"/>
                <w:color w:val="000000" w:themeColor="text1"/>
                <w:sz w:val="18"/>
                <w:szCs w:val="18"/>
              </w:rPr>
              <w:t>).</w:t>
            </w:r>
          </w:p>
          <w:p w14:paraId="69598CBE" w14:textId="4CFD4F3A" w:rsidR="00405AF4" w:rsidRPr="00405AF4" w:rsidRDefault="00405AF4" w:rsidP="00405AF4">
            <w:pPr>
              <w:pStyle w:val="ListParagraph"/>
              <w:numPr>
                <w:ilvl w:val="0"/>
                <w:numId w:val="26"/>
              </w:numPr>
              <w:spacing w:line="264" w:lineRule="auto"/>
              <w:ind w:left="459"/>
              <w:jc w:val="both"/>
              <w:rPr>
                <w:rFonts w:ascii="Arial" w:hAnsi="Arial" w:cs="Arial"/>
                <w:color w:val="000000" w:themeColor="text1"/>
                <w:sz w:val="18"/>
                <w:szCs w:val="18"/>
              </w:rPr>
            </w:pPr>
            <w:proofErr w:type="spellStart"/>
            <w:r w:rsidRPr="00405AF4">
              <w:rPr>
                <w:rFonts w:ascii="Arial" w:hAnsi="Arial" w:cs="Arial"/>
                <w:color w:val="000000" w:themeColor="text1"/>
                <w:sz w:val="18"/>
                <w:szCs w:val="18"/>
              </w:rPr>
              <w:t>Hukumonline</w:t>
            </w:r>
            <w:proofErr w:type="spellEnd"/>
            <w:r w:rsidRPr="00405AF4">
              <w:rPr>
                <w:rFonts w:ascii="Arial" w:hAnsi="Arial" w:cs="Arial"/>
                <w:color w:val="000000" w:themeColor="text1"/>
                <w:sz w:val="18"/>
                <w:szCs w:val="18"/>
              </w:rPr>
              <w:t xml:space="preserve"> Top Indonesian Law Schools – Golden Alumni (2025).</w:t>
            </w:r>
          </w:p>
          <w:p w14:paraId="2FAD990F" w14:textId="33F3DD4B" w:rsidR="00C542C6" w:rsidRPr="006473CA" w:rsidRDefault="006473CA" w:rsidP="00B937B7">
            <w:pPr>
              <w:pStyle w:val="ListParagraph"/>
              <w:numPr>
                <w:ilvl w:val="0"/>
                <w:numId w:val="26"/>
              </w:numPr>
              <w:spacing w:line="264" w:lineRule="auto"/>
              <w:ind w:left="459"/>
              <w:jc w:val="both"/>
              <w:rPr>
                <w:rFonts w:ascii="Arial" w:hAnsi="Arial" w:cs="Arial"/>
                <w:sz w:val="6"/>
                <w:szCs w:val="6"/>
              </w:rPr>
            </w:pPr>
            <w:r w:rsidRPr="006473CA">
              <w:rPr>
                <w:rFonts w:ascii="Arial" w:hAnsi="Arial" w:cs="Arial"/>
                <w:color w:val="000000" w:themeColor="text1"/>
                <w:sz w:val="18"/>
                <w:szCs w:val="18"/>
              </w:rPr>
              <w:t>Legal 500 Asia-Pacific</w:t>
            </w:r>
            <w:r w:rsidR="00C542C6">
              <w:rPr>
                <w:rFonts w:ascii="Arial" w:hAnsi="Arial" w:cs="Arial"/>
                <w:color w:val="000000" w:themeColor="text1"/>
                <w:sz w:val="18"/>
                <w:szCs w:val="18"/>
              </w:rPr>
              <w:t xml:space="preserve"> – Recommended Lawyer in Corporate and M&amp;A</w:t>
            </w:r>
            <w:r>
              <w:rPr>
                <w:rFonts w:ascii="Arial" w:hAnsi="Arial" w:cs="Arial"/>
                <w:color w:val="000000" w:themeColor="text1"/>
                <w:sz w:val="18"/>
                <w:szCs w:val="18"/>
              </w:rPr>
              <w:t xml:space="preserve"> (2025).</w:t>
            </w:r>
          </w:p>
          <w:p w14:paraId="167ECAC7" w14:textId="21E08CB7" w:rsidR="006473CA" w:rsidRPr="006473CA" w:rsidRDefault="006473CA" w:rsidP="00B937B7">
            <w:pPr>
              <w:pStyle w:val="ListParagraph"/>
              <w:numPr>
                <w:ilvl w:val="0"/>
                <w:numId w:val="26"/>
              </w:numPr>
              <w:spacing w:line="264" w:lineRule="auto"/>
              <w:ind w:left="459"/>
              <w:jc w:val="both"/>
              <w:rPr>
                <w:rFonts w:ascii="Arial" w:hAnsi="Arial" w:cs="Arial"/>
                <w:sz w:val="6"/>
                <w:szCs w:val="6"/>
              </w:rPr>
            </w:pPr>
            <w:r>
              <w:rPr>
                <w:rFonts w:ascii="Arial" w:hAnsi="Arial" w:cs="Arial"/>
                <w:sz w:val="18"/>
                <w:szCs w:val="18"/>
              </w:rPr>
              <w:t>Legal 500 Asia-Pacific – Recommended Lawyer in Shipping (2023 &amp; 2025).</w:t>
            </w:r>
          </w:p>
          <w:p w14:paraId="6BEDB54B" w14:textId="4839141D" w:rsidR="009D7953" w:rsidRPr="00BA7226" w:rsidRDefault="008C2DAB" w:rsidP="00B937B7">
            <w:pPr>
              <w:pStyle w:val="ListParagraph"/>
              <w:numPr>
                <w:ilvl w:val="0"/>
                <w:numId w:val="26"/>
              </w:numPr>
              <w:spacing w:line="264" w:lineRule="auto"/>
              <w:ind w:left="459"/>
              <w:jc w:val="both"/>
              <w:rPr>
                <w:rFonts w:ascii="Arial" w:hAnsi="Arial" w:cs="Arial"/>
                <w:sz w:val="6"/>
                <w:szCs w:val="6"/>
              </w:rPr>
            </w:pPr>
            <w:r w:rsidRPr="00A111C3">
              <w:rPr>
                <w:rFonts w:ascii="Arial" w:hAnsi="Arial" w:cs="Arial"/>
                <w:color w:val="000000" w:themeColor="text1"/>
                <w:sz w:val="18"/>
                <w:szCs w:val="18"/>
              </w:rPr>
              <w:t>Asian Legal Business – Indonesia Rising Stars (</w:t>
            </w:r>
            <w:r>
              <w:rPr>
                <w:rFonts w:ascii="Arial" w:hAnsi="Arial" w:cs="Arial"/>
                <w:color w:val="000000" w:themeColor="text1"/>
                <w:sz w:val="18"/>
                <w:szCs w:val="18"/>
              </w:rPr>
              <w:t>2022</w:t>
            </w:r>
            <w:r w:rsidR="007E627D">
              <w:rPr>
                <w:rFonts w:ascii="Arial" w:hAnsi="Arial" w:cs="Arial"/>
                <w:color w:val="000000" w:themeColor="text1"/>
                <w:sz w:val="18"/>
                <w:szCs w:val="18"/>
              </w:rPr>
              <w:t>, 2023 &amp;</w:t>
            </w:r>
            <w:r w:rsidR="00B94098">
              <w:rPr>
                <w:rFonts w:ascii="Arial" w:hAnsi="Arial" w:cs="Arial"/>
                <w:color w:val="000000" w:themeColor="text1"/>
                <w:sz w:val="18"/>
                <w:szCs w:val="18"/>
              </w:rPr>
              <w:t xml:space="preserve"> </w:t>
            </w:r>
            <w:r w:rsidR="006419F5">
              <w:rPr>
                <w:rFonts w:ascii="Arial" w:hAnsi="Arial" w:cs="Arial"/>
                <w:color w:val="000000" w:themeColor="text1"/>
                <w:sz w:val="18"/>
                <w:szCs w:val="18"/>
              </w:rPr>
              <w:t>2024</w:t>
            </w:r>
            <w:r w:rsidRPr="00A111C3">
              <w:rPr>
                <w:rFonts w:ascii="Arial" w:hAnsi="Arial" w:cs="Arial"/>
                <w:color w:val="000000" w:themeColor="text1"/>
                <w:sz w:val="18"/>
                <w:szCs w:val="18"/>
              </w:rPr>
              <w:t>).</w:t>
            </w:r>
          </w:p>
          <w:p w14:paraId="2D1FA465" w14:textId="14A362FE" w:rsidR="009D7953" w:rsidRPr="002865B1" w:rsidRDefault="009D7953" w:rsidP="006473CA">
            <w:pPr>
              <w:spacing w:line="264" w:lineRule="auto"/>
              <w:jc w:val="both"/>
              <w:rPr>
                <w:rFonts w:ascii="Arial" w:hAnsi="Arial" w:cs="Arial"/>
                <w:sz w:val="10"/>
                <w:szCs w:val="10"/>
              </w:rPr>
            </w:pPr>
          </w:p>
        </w:tc>
      </w:tr>
      <w:tr w:rsidR="009F4A22" w14:paraId="633ED1E0" w14:textId="77777777" w:rsidTr="005E417E">
        <w:tblPrEx>
          <w:tblBorders>
            <w:insideH w:val="none" w:sz="0" w:space="0" w:color="auto"/>
            <w:insideV w:val="none" w:sz="0" w:space="0" w:color="auto"/>
          </w:tblBorders>
          <w:tblLook w:val="0000" w:firstRow="0" w:lastRow="0" w:firstColumn="0" w:lastColumn="0" w:noHBand="0" w:noVBand="0"/>
        </w:tblPrEx>
        <w:tc>
          <w:tcPr>
            <w:tcW w:w="9180" w:type="dxa"/>
            <w:gridSpan w:val="2"/>
            <w:tcBorders>
              <w:top w:val="single" w:sz="4" w:space="0" w:color="auto"/>
              <w:left w:val="single" w:sz="4" w:space="0" w:color="auto"/>
              <w:bottom w:val="single" w:sz="4" w:space="0" w:color="auto"/>
              <w:right w:val="single" w:sz="4" w:space="0" w:color="auto"/>
            </w:tcBorders>
            <w:shd w:val="clear" w:color="auto" w:fill="002060"/>
          </w:tcPr>
          <w:p w14:paraId="504F6507" w14:textId="77777777" w:rsidR="009F4A22" w:rsidRPr="007C596C" w:rsidRDefault="009F4A22" w:rsidP="009F4A22">
            <w:pPr>
              <w:spacing w:line="264" w:lineRule="auto"/>
              <w:jc w:val="both"/>
              <w:rPr>
                <w:rFonts w:ascii="Arial" w:hAnsi="Arial" w:cs="Arial"/>
                <w:b/>
                <w:smallCaps/>
                <w:sz w:val="10"/>
                <w:szCs w:val="22"/>
                <w:lang w:val="id-ID"/>
              </w:rPr>
            </w:pPr>
          </w:p>
          <w:p w14:paraId="10E3AC97" w14:textId="77777777" w:rsidR="009F4A22" w:rsidRPr="007C596C" w:rsidRDefault="009F4A22" w:rsidP="009F4A22">
            <w:pPr>
              <w:spacing w:line="264" w:lineRule="auto"/>
              <w:jc w:val="both"/>
              <w:rPr>
                <w:rFonts w:ascii="Arial" w:hAnsi="Arial" w:cs="Arial"/>
                <w:b/>
                <w:smallCaps/>
                <w:sz w:val="18"/>
                <w:szCs w:val="22"/>
                <w:lang w:val="id-ID"/>
              </w:rPr>
            </w:pPr>
            <w:r w:rsidRPr="007C596C">
              <w:rPr>
                <w:rFonts w:ascii="Arial" w:hAnsi="Arial" w:cs="Arial"/>
                <w:b/>
                <w:smallCaps/>
                <w:sz w:val="18"/>
                <w:szCs w:val="22"/>
              </w:rPr>
              <w:t>Contact Details</w:t>
            </w:r>
          </w:p>
          <w:p w14:paraId="0960D7AE" w14:textId="77777777" w:rsidR="009F4A22" w:rsidRPr="00693CC0" w:rsidRDefault="009F4A22" w:rsidP="009F4A22">
            <w:pPr>
              <w:spacing w:line="264" w:lineRule="auto"/>
              <w:jc w:val="both"/>
              <w:rPr>
                <w:rFonts w:ascii="Arial" w:hAnsi="Arial" w:cs="Arial"/>
                <w:sz w:val="10"/>
              </w:rPr>
            </w:pPr>
          </w:p>
        </w:tc>
      </w:tr>
      <w:tr w:rsidR="009F4A22" w14:paraId="79A0FC96" w14:textId="77777777" w:rsidTr="005E417E">
        <w:tblPrEx>
          <w:tblBorders>
            <w:insideH w:val="none" w:sz="0" w:space="0" w:color="auto"/>
            <w:insideV w:val="none" w:sz="0" w:space="0" w:color="auto"/>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688FE4B" w14:textId="77777777" w:rsidR="009F4A22" w:rsidRPr="000E257B" w:rsidRDefault="009F4A22" w:rsidP="009F4A22">
            <w:pPr>
              <w:spacing w:line="264" w:lineRule="auto"/>
              <w:jc w:val="both"/>
              <w:rPr>
                <w:rFonts w:ascii="Arial" w:hAnsi="Arial" w:cs="Arial"/>
                <w:b/>
                <w:sz w:val="10"/>
                <w:szCs w:val="18"/>
                <w:lang w:val="id-ID"/>
              </w:rPr>
            </w:pPr>
          </w:p>
          <w:p w14:paraId="20904BEE" w14:textId="77777777" w:rsidR="009F4A22" w:rsidRPr="000E257B" w:rsidRDefault="009F4A22" w:rsidP="009F4A22">
            <w:pPr>
              <w:spacing w:line="264" w:lineRule="auto"/>
              <w:jc w:val="both"/>
              <w:rPr>
                <w:rFonts w:ascii="Arial" w:hAnsi="Arial" w:cs="Arial"/>
                <w:b/>
                <w:sz w:val="18"/>
                <w:szCs w:val="18"/>
                <w:lang w:val="id-ID"/>
              </w:rPr>
            </w:pPr>
            <w:r w:rsidRPr="000E257B">
              <w:rPr>
                <w:rFonts w:ascii="Arial" w:hAnsi="Arial" w:cs="Arial"/>
                <w:b/>
                <w:sz w:val="18"/>
                <w:szCs w:val="18"/>
              </w:rPr>
              <w:t>Telephone</w:t>
            </w:r>
          </w:p>
          <w:p w14:paraId="72E30967" w14:textId="77777777" w:rsidR="009F4A22" w:rsidRPr="002B0A43" w:rsidRDefault="009F4A22" w:rsidP="009F4A22">
            <w:pPr>
              <w:jc w:val="both"/>
              <w:rPr>
                <w:rFonts w:ascii="Arial" w:hAnsi="Arial" w:cs="Arial"/>
                <w:b/>
                <w:sz w:val="10"/>
                <w:szCs w:val="10"/>
                <w:lang w:val="id-ID"/>
              </w:rPr>
            </w:pPr>
          </w:p>
        </w:tc>
        <w:tc>
          <w:tcPr>
            <w:tcW w:w="7020" w:type="dxa"/>
            <w:tcBorders>
              <w:top w:val="single" w:sz="4" w:space="0" w:color="auto"/>
              <w:left w:val="single" w:sz="4" w:space="0" w:color="auto"/>
              <w:bottom w:val="single" w:sz="4" w:space="0" w:color="auto"/>
              <w:right w:val="single" w:sz="4" w:space="0" w:color="auto"/>
            </w:tcBorders>
          </w:tcPr>
          <w:p w14:paraId="38542830" w14:textId="77777777" w:rsidR="009F4A22" w:rsidRPr="000E257B" w:rsidRDefault="009F4A22" w:rsidP="00296B6F">
            <w:pPr>
              <w:spacing w:line="264" w:lineRule="auto"/>
              <w:ind w:left="72"/>
              <w:jc w:val="both"/>
              <w:rPr>
                <w:rFonts w:ascii="Arial" w:hAnsi="Arial" w:cs="Arial"/>
                <w:sz w:val="10"/>
                <w:szCs w:val="18"/>
                <w:lang w:val="id-ID"/>
              </w:rPr>
            </w:pPr>
          </w:p>
          <w:p w14:paraId="0F967E99" w14:textId="2F12787C" w:rsidR="009F4A22" w:rsidRPr="00863DC3" w:rsidRDefault="009F4A22" w:rsidP="00296B6F">
            <w:pPr>
              <w:spacing w:line="264" w:lineRule="auto"/>
              <w:ind w:left="72"/>
              <w:jc w:val="both"/>
              <w:rPr>
                <w:rFonts w:ascii="Arial" w:hAnsi="Arial" w:cs="Arial"/>
                <w:sz w:val="18"/>
                <w:szCs w:val="18"/>
              </w:rPr>
            </w:pPr>
            <w:r w:rsidRPr="000E257B">
              <w:rPr>
                <w:rFonts w:ascii="Arial" w:hAnsi="Arial" w:cs="Arial"/>
                <w:sz w:val="18"/>
                <w:szCs w:val="18"/>
              </w:rPr>
              <w:t xml:space="preserve">+62 - 21 </w:t>
            </w:r>
            <w:r w:rsidR="003675FC">
              <w:rPr>
                <w:rFonts w:ascii="Arial" w:hAnsi="Arial" w:cs="Arial"/>
                <w:sz w:val="18"/>
                <w:szCs w:val="18"/>
              </w:rPr>
              <w:t>-</w:t>
            </w:r>
            <w:r w:rsidRPr="000E257B">
              <w:rPr>
                <w:rFonts w:ascii="Arial" w:hAnsi="Arial" w:cs="Arial"/>
                <w:sz w:val="18"/>
                <w:szCs w:val="18"/>
                <w:lang w:val="id-ID"/>
              </w:rPr>
              <w:t xml:space="preserve"> </w:t>
            </w:r>
            <w:r>
              <w:rPr>
                <w:rFonts w:ascii="Arial" w:hAnsi="Arial" w:cs="Arial"/>
                <w:sz w:val="18"/>
                <w:szCs w:val="18"/>
              </w:rPr>
              <w:t>5091 3991</w:t>
            </w:r>
          </w:p>
          <w:p w14:paraId="094A11FE" w14:textId="4B7BCA47" w:rsidR="009F4A22" w:rsidRPr="002B0A43" w:rsidRDefault="009F4A22" w:rsidP="00296B6F">
            <w:pPr>
              <w:spacing w:line="264" w:lineRule="auto"/>
              <w:ind w:left="72"/>
              <w:jc w:val="both"/>
              <w:rPr>
                <w:rFonts w:ascii="Arial" w:hAnsi="Arial" w:cs="Arial"/>
                <w:b/>
                <w:sz w:val="10"/>
                <w:szCs w:val="10"/>
                <w:lang w:val="id-ID"/>
              </w:rPr>
            </w:pPr>
            <w:r w:rsidRPr="000E257B">
              <w:rPr>
                <w:rFonts w:ascii="Arial" w:hAnsi="Arial" w:cs="Arial"/>
                <w:sz w:val="18"/>
                <w:szCs w:val="18"/>
              </w:rPr>
              <w:t xml:space="preserve"> </w:t>
            </w:r>
          </w:p>
        </w:tc>
      </w:tr>
      <w:tr w:rsidR="009F4A22" w14:paraId="721BE701" w14:textId="77777777" w:rsidTr="005E417E">
        <w:tblPrEx>
          <w:tblBorders>
            <w:insideH w:val="none" w:sz="0" w:space="0" w:color="auto"/>
            <w:insideV w:val="none" w:sz="0" w:space="0" w:color="auto"/>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ED870CD" w14:textId="77777777" w:rsidR="009F4A22" w:rsidRPr="000E257B" w:rsidRDefault="009F4A22" w:rsidP="009F4A22">
            <w:pPr>
              <w:spacing w:line="264" w:lineRule="auto"/>
              <w:jc w:val="both"/>
              <w:rPr>
                <w:rFonts w:ascii="Arial" w:hAnsi="Arial" w:cs="Arial"/>
                <w:b/>
                <w:sz w:val="10"/>
                <w:szCs w:val="18"/>
                <w:lang w:val="id-ID"/>
              </w:rPr>
            </w:pPr>
          </w:p>
          <w:p w14:paraId="706C1C05" w14:textId="77777777" w:rsidR="009F4A22" w:rsidRPr="000E257B" w:rsidRDefault="009F4A22" w:rsidP="009F4A22">
            <w:pPr>
              <w:spacing w:line="264" w:lineRule="auto"/>
              <w:jc w:val="both"/>
              <w:rPr>
                <w:rFonts w:ascii="Arial" w:hAnsi="Arial" w:cs="Arial"/>
                <w:b/>
                <w:sz w:val="18"/>
                <w:szCs w:val="18"/>
                <w:lang w:val="id-ID"/>
              </w:rPr>
            </w:pPr>
            <w:r w:rsidRPr="000E257B">
              <w:rPr>
                <w:rFonts w:ascii="Arial" w:hAnsi="Arial" w:cs="Arial"/>
                <w:b/>
                <w:sz w:val="18"/>
                <w:szCs w:val="18"/>
              </w:rPr>
              <w:t>Facsimile</w:t>
            </w:r>
          </w:p>
          <w:p w14:paraId="69C16F63" w14:textId="77777777" w:rsidR="009F4A22" w:rsidRPr="002B0A43" w:rsidRDefault="009F4A22" w:rsidP="009F4A22">
            <w:pPr>
              <w:jc w:val="both"/>
              <w:rPr>
                <w:rFonts w:ascii="Arial" w:hAnsi="Arial" w:cs="Arial"/>
                <w:b/>
                <w:sz w:val="10"/>
                <w:szCs w:val="10"/>
                <w:lang w:val="id-ID"/>
              </w:rPr>
            </w:pPr>
          </w:p>
        </w:tc>
        <w:tc>
          <w:tcPr>
            <w:tcW w:w="7020" w:type="dxa"/>
            <w:tcBorders>
              <w:top w:val="single" w:sz="4" w:space="0" w:color="auto"/>
              <w:left w:val="single" w:sz="4" w:space="0" w:color="auto"/>
              <w:bottom w:val="single" w:sz="4" w:space="0" w:color="auto"/>
              <w:right w:val="single" w:sz="4" w:space="0" w:color="auto"/>
            </w:tcBorders>
          </w:tcPr>
          <w:p w14:paraId="7E7BEAD1" w14:textId="77777777" w:rsidR="009F4A22" w:rsidRPr="000E257B" w:rsidRDefault="009F4A22" w:rsidP="00296B6F">
            <w:pPr>
              <w:spacing w:line="264" w:lineRule="auto"/>
              <w:ind w:left="72"/>
              <w:jc w:val="both"/>
              <w:rPr>
                <w:rFonts w:ascii="Arial" w:hAnsi="Arial" w:cs="Arial"/>
                <w:sz w:val="10"/>
                <w:szCs w:val="18"/>
                <w:lang w:val="id-ID"/>
              </w:rPr>
            </w:pPr>
          </w:p>
          <w:p w14:paraId="5AB52366" w14:textId="3F176EDF" w:rsidR="009F4A22" w:rsidRPr="002E5D1B" w:rsidRDefault="009F4A22" w:rsidP="003675FC">
            <w:pPr>
              <w:ind w:left="72"/>
              <w:jc w:val="both"/>
              <w:rPr>
                <w:rFonts w:ascii="Arial" w:hAnsi="Arial" w:cs="Arial"/>
                <w:sz w:val="18"/>
                <w:szCs w:val="18"/>
                <w:lang w:val="id-ID"/>
              </w:rPr>
            </w:pPr>
            <w:r w:rsidRPr="000E257B">
              <w:rPr>
                <w:rFonts w:ascii="Arial" w:hAnsi="Arial" w:cs="Arial"/>
                <w:sz w:val="18"/>
                <w:szCs w:val="18"/>
              </w:rPr>
              <w:t xml:space="preserve">+62 - 21 </w:t>
            </w:r>
            <w:r w:rsidR="003675FC">
              <w:rPr>
                <w:rFonts w:ascii="Arial" w:hAnsi="Arial" w:cs="Arial"/>
                <w:sz w:val="18"/>
                <w:szCs w:val="18"/>
              </w:rPr>
              <w:t>-</w:t>
            </w:r>
            <w:r w:rsidRPr="000E257B">
              <w:rPr>
                <w:rFonts w:ascii="Arial" w:hAnsi="Arial" w:cs="Arial"/>
                <w:sz w:val="18"/>
                <w:szCs w:val="18"/>
                <w:lang w:val="id-ID"/>
              </w:rPr>
              <w:t xml:space="preserve"> </w:t>
            </w:r>
            <w:r>
              <w:rPr>
                <w:rFonts w:ascii="Arial" w:hAnsi="Arial" w:cs="Arial"/>
                <w:sz w:val="18"/>
                <w:szCs w:val="18"/>
              </w:rPr>
              <w:t>5091 3992</w:t>
            </w:r>
          </w:p>
        </w:tc>
      </w:tr>
      <w:tr w:rsidR="009F4A22" w14:paraId="061430A5" w14:textId="77777777" w:rsidTr="00EF0392">
        <w:tblPrEx>
          <w:tblBorders>
            <w:insideH w:val="none" w:sz="0" w:space="0" w:color="auto"/>
            <w:insideV w:val="none" w:sz="0" w:space="0" w:color="auto"/>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B7CF7E" w14:textId="77777777" w:rsidR="009F4A22" w:rsidRPr="000E257B" w:rsidRDefault="009F4A22" w:rsidP="009F4A22">
            <w:pPr>
              <w:spacing w:line="264" w:lineRule="auto"/>
              <w:jc w:val="both"/>
              <w:rPr>
                <w:rFonts w:ascii="Arial" w:hAnsi="Arial" w:cs="Arial"/>
                <w:b/>
                <w:sz w:val="10"/>
                <w:szCs w:val="18"/>
              </w:rPr>
            </w:pPr>
          </w:p>
          <w:p w14:paraId="421E25EA" w14:textId="77777777" w:rsidR="009F4A22" w:rsidRPr="000E257B" w:rsidRDefault="009F4A22" w:rsidP="009F4A22">
            <w:pPr>
              <w:spacing w:line="264" w:lineRule="auto"/>
              <w:jc w:val="both"/>
              <w:rPr>
                <w:rFonts w:ascii="Arial" w:hAnsi="Arial" w:cs="Arial"/>
                <w:b/>
                <w:sz w:val="18"/>
                <w:szCs w:val="18"/>
                <w:lang w:val="id-ID"/>
              </w:rPr>
            </w:pPr>
            <w:r w:rsidRPr="000E257B">
              <w:rPr>
                <w:rFonts w:ascii="Arial" w:hAnsi="Arial" w:cs="Arial"/>
                <w:b/>
                <w:sz w:val="18"/>
                <w:szCs w:val="18"/>
              </w:rPr>
              <w:t>E-mail</w:t>
            </w:r>
          </w:p>
          <w:p w14:paraId="67E0186D" w14:textId="77777777" w:rsidR="009F4A22" w:rsidRPr="002B0A43" w:rsidRDefault="009F4A22" w:rsidP="009F4A22">
            <w:pPr>
              <w:jc w:val="both"/>
              <w:rPr>
                <w:rFonts w:ascii="Arial" w:hAnsi="Arial" w:cs="Arial"/>
                <w:b/>
                <w:sz w:val="10"/>
                <w:szCs w:val="10"/>
                <w:lang w:val="id-ID"/>
              </w:rPr>
            </w:pPr>
          </w:p>
        </w:tc>
        <w:tc>
          <w:tcPr>
            <w:tcW w:w="7020" w:type="dxa"/>
            <w:tcBorders>
              <w:top w:val="single" w:sz="4" w:space="0" w:color="auto"/>
              <w:left w:val="single" w:sz="4" w:space="0" w:color="auto"/>
              <w:bottom w:val="single" w:sz="4" w:space="0" w:color="auto"/>
              <w:right w:val="single" w:sz="4" w:space="0" w:color="auto"/>
            </w:tcBorders>
            <w:vAlign w:val="center"/>
          </w:tcPr>
          <w:p w14:paraId="19A16477" w14:textId="77777777" w:rsidR="009F4A22" w:rsidRPr="000E257B" w:rsidRDefault="009F4A22" w:rsidP="00296B6F">
            <w:pPr>
              <w:spacing w:line="264" w:lineRule="auto"/>
              <w:ind w:left="72"/>
              <w:rPr>
                <w:rFonts w:ascii="Arial" w:hAnsi="Arial" w:cs="Arial"/>
                <w:sz w:val="10"/>
                <w:szCs w:val="18"/>
              </w:rPr>
            </w:pPr>
          </w:p>
          <w:p w14:paraId="5F97F6A1" w14:textId="77777777" w:rsidR="009F4A22" w:rsidRPr="000E257B" w:rsidRDefault="009F4A22" w:rsidP="00296B6F">
            <w:pPr>
              <w:spacing w:line="264" w:lineRule="auto"/>
              <w:ind w:left="72"/>
              <w:rPr>
                <w:rFonts w:ascii="Arial" w:hAnsi="Arial" w:cs="Arial"/>
                <w:sz w:val="18"/>
                <w:szCs w:val="18"/>
                <w:lang w:val="id-ID"/>
              </w:rPr>
            </w:pPr>
            <w:hyperlink r:id="rId9" w:history="1">
              <w:r w:rsidRPr="000E257B">
                <w:rPr>
                  <w:rFonts w:ascii="Arial" w:hAnsi="Arial" w:cs="Arial"/>
                  <w:color w:val="0000FF"/>
                  <w:sz w:val="18"/>
                  <w:szCs w:val="18"/>
                  <w:u w:val="single"/>
                </w:rPr>
                <w:t>milantikirana@h</w:t>
              </w:r>
              <w:r w:rsidRPr="000E257B">
                <w:rPr>
                  <w:rFonts w:ascii="Arial" w:hAnsi="Arial" w:cs="Arial"/>
                  <w:color w:val="0000FF"/>
                  <w:sz w:val="18"/>
                  <w:szCs w:val="18"/>
                  <w:u w:val="single"/>
                  <w:lang w:val="id-ID"/>
                </w:rPr>
                <w:t>h</w:t>
              </w:r>
              <w:r w:rsidRPr="000E257B">
                <w:rPr>
                  <w:rFonts w:ascii="Arial" w:hAnsi="Arial" w:cs="Arial"/>
                  <w:color w:val="0000FF"/>
                  <w:sz w:val="18"/>
                  <w:szCs w:val="18"/>
                  <w:u w:val="single"/>
                </w:rPr>
                <w:t>rlawyers.com</w:t>
              </w:r>
            </w:hyperlink>
          </w:p>
          <w:p w14:paraId="4B5E9202" w14:textId="77777777" w:rsidR="009F4A22" w:rsidRPr="002B0A43" w:rsidRDefault="009F4A22" w:rsidP="00296B6F">
            <w:pPr>
              <w:ind w:left="72"/>
              <w:jc w:val="both"/>
              <w:rPr>
                <w:rFonts w:ascii="Arial" w:hAnsi="Arial" w:cs="Arial"/>
                <w:sz w:val="10"/>
                <w:szCs w:val="10"/>
                <w:lang w:val="id-ID"/>
              </w:rPr>
            </w:pPr>
          </w:p>
        </w:tc>
      </w:tr>
      <w:tr w:rsidR="009F4A22" w14:paraId="1F9591BC" w14:textId="77777777" w:rsidTr="005E417E">
        <w:tblPrEx>
          <w:tblBorders>
            <w:insideH w:val="none" w:sz="0" w:space="0" w:color="auto"/>
            <w:insideV w:val="none" w:sz="0" w:space="0" w:color="auto"/>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3DD70AD" w14:textId="77777777" w:rsidR="009F4A22" w:rsidRPr="000E257B" w:rsidRDefault="009F4A22" w:rsidP="009F4A22">
            <w:pPr>
              <w:spacing w:line="264" w:lineRule="auto"/>
              <w:jc w:val="both"/>
              <w:rPr>
                <w:rFonts w:ascii="Arial" w:hAnsi="Arial" w:cs="Arial"/>
                <w:b/>
                <w:sz w:val="10"/>
                <w:szCs w:val="18"/>
                <w:lang w:val="id-ID"/>
              </w:rPr>
            </w:pPr>
          </w:p>
          <w:p w14:paraId="41389628" w14:textId="77777777" w:rsidR="009F4A22" w:rsidRPr="000E257B" w:rsidRDefault="009F4A22" w:rsidP="009F4A22">
            <w:pPr>
              <w:spacing w:line="264" w:lineRule="auto"/>
              <w:jc w:val="both"/>
              <w:rPr>
                <w:rFonts w:ascii="Arial" w:hAnsi="Arial" w:cs="Arial"/>
                <w:b/>
                <w:sz w:val="18"/>
                <w:szCs w:val="18"/>
                <w:lang w:val="id-ID"/>
              </w:rPr>
            </w:pPr>
            <w:r w:rsidRPr="000E257B">
              <w:rPr>
                <w:rFonts w:ascii="Arial" w:hAnsi="Arial" w:cs="Arial"/>
                <w:b/>
                <w:sz w:val="18"/>
                <w:szCs w:val="18"/>
                <w:lang w:val="id-ID"/>
              </w:rPr>
              <w:t>Mobile Phone</w:t>
            </w:r>
          </w:p>
          <w:p w14:paraId="1152C6A3" w14:textId="77777777" w:rsidR="009F4A22" w:rsidRPr="002B0A43" w:rsidRDefault="009F4A22" w:rsidP="009F4A22">
            <w:pPr>
              <w:jc w:val="both"/>
              <w:rPr>
                <w:rFonts w:ascii="Arial" w:hAnsi="Arial" w:cs="Arial"/>
                <w:b/>
                <w:sz w:val="10"/>
                <w:szCs w:val="10"/>
                <w:lang w:val="id-ID"/>
              </w:rPr>
            </w:pPr>
          </w:p>
        </w:tc>
        <w:tc>
          <w:tcPr>
            <w:tcW w:w="7020" w:type="dxa"/>
            <w:tcBorders>
              <w:top w:val="single" w:sz="4" w:space="0" w:color="auto"/>
              <w:left w:val="single" w:sz="4" w:space="0" w:color="auto"/>
              <w:bottom w:val="single" w:sz="4" w:space="0" w:color="auto"/>
              <w:right w:val="single" w:sz="4" w:space="0" w:color="auto"/>
            </w:tcBorders>
          </w:tcPr>
          <w:p w14:paraId="32E5594B" w14:textId="77777777" w:rsidR="009F4A22" w:rsidRPr="000E257B" w:rsidRDefault="009F4A22" w:rsidP="00296B6F">
            <w:pPr>
              <w:spacing w:line="264" w:lineRule="auto"/>
              <w:ind w:left="72"/>
              <w:jc w:val="both"/>
              <w:rPr>
                <w:rFonts w:ascii="Arial" w:hAnsi="Arial" w:cs="Arial"/>
                <w:sz w:val="10"/>
                <w:szCs w:val="18"/>
                <w:lang w:val="id-ID"/>
              </w:rPr>
            </w:pPr>
          </w:p>
          <w:p w14:paraId="239F6724" w14:textId="1D711456" w:rsidR="009F4A22" w:rsidRPr="000E257B" w:rsidRDefault="009F4A22" w:rsidP="00296B6F">
            <w:pPr>
              <w:spacing w:line="264" w:lineRule="auto"/>
              <w:ind w:left="72"/>
              <w:jc w:val="both"/>
              <w:rPr>
                <w:rFonts w:ascii="Arial" w:hAnsi="Arial" w:cs="Arial"/>
                <w:sz w:val="18"/>
                <w:szCs w:val="18"/>
              </w:rPr>
            </w:pPr>
            <w:r w:rsidRPr="000E257B">
              <w:rPr>
                <w:rFonts w:ascii="Arial" w:hAnsi="Arial" w:cs="Arial"/>
                <w:sz w:val="18"/>
                <w:szCs w:val="18"/>
                <w:lang w:val="id-ID"/>
              </w:rPr>
              <w:t>+62 - 8</w:t>
            </w:r>
            <w:r w:rsidRPr="000E257B">
              <w:rPr>
                <w:rFonts w:ascii="Arial" w:hAnsi="Arial" w:cs="Arial"/>
                <w:sz w:val="18"/>
                <w:szCs w:val="18"/>
              </w:rPr>
              <w:t>15</w:t>
            </w:r>
            <w:r w:rsidRPr="000E257B">
              <w:rPr>
                <w:rFonts w:ascii="Arial" w:hAnsi="Arial" w:cs="Arial"/>
                <w:sz w:val="18"/>
                <w:szCs w:val="18"/>
                <w:lang w:val="id-ID"/>
              </w:rPr>
              <w:t xml:space="preserve"> </w:t>
            </w:r>
            <w:r w:rsidRPr="000E257B">
              <w:rPr>
                <w:rFonts w:ascii="Arial" w:hAnsi="Arial" w:cs="Arial"/>
                <w:sz w:val="18"/>
                <w:szCs w:val="18"/>
              </w:rPr>
              <w:t>-</w:t>
            </w:r>
            <w:r w:rsidRPr="000E257B">
              <w:rPr>
                <w:rFonts w:ascii="Arial" w:hAnsi="Arial" w:cs="Arial"/>
                <w:sz w:val="18"/>
                <w:szCs w:val="18"/>
                <w:lang w:val="id-ID"/>
              </w:rPr>
              <w:t xml:space="preserve"> </w:t>
            </w:r>
            <w:r w:rsidRPr="000E257B">
              <w:rPr>
                <w:rFonts w:ascii="Arial" w:hAnsi="Arial" w:cs="Arial"/>
                <w:sz w:val="18"/>
                <w:szCs w:val="18"/>
              </w:rPr>
              <w:t>8450</w:t>
            </w:r>
            <w:r w:rsidRPr="000E257B">
              <w:rPr>
                <w:rFonts w:ascii="Arial" w:hAnsi="Arial" w:cs="Arial"/>
                <w:sz w:val="18"/>
                <w:szCs w:val="18"/>
                <w:lang w:val="id-ID"/>
              </w:rPr>
              <w:t xml:space="preserve"> </w:t>
            </w:r>
            <w:r w:rsidR="00296B6F">
              <w:rPr>
                <w:rFonts w:ascii="Arial" w:hAnsi="Arial" w:cs="Arial"/>
                <w:sz w:val="18"/>
                <w:szCs w:val="18"/>
              </w:rPr>
              <w:t xml:space="preserve">- </w:t>
            </w:r>
            <w:r w:rsidRPr="000E257B">
              <w:rPr>
                <w:rFonts w:ascii="Arial" w:hAnsi="Arial" w:cs="Arial"/>
                <w:sz w:val="18"/>
                <w:szCs w:val="18"/>
              </w:rPr>
              <w:t>9440</w:t>
            </w:r>
          </w:p>
          <w:p w14:paraId="711DCEDB" w14:textId="77777777" w:rsidR="009F4A22" w:rsidRPr="002B0A43" w:rsidRDefault="009F4A22" w:rsidP="00296B6F">
            <w:pPr>
              <w:ind w:left="72"/>
              <w:jc w:val="both"/>
              <w:rPr>
                <w:rFonts w:ascii="Arial" w:hAnsi="Arial" w:cs="Arial"/>
                <w:sz w:val="10"/>
                <w:szCs w:val="10"/>
                <w:lang w:val="id-ID"/>
              </w:rPr>
            </w:pPr>
          </w:p>
        </w:tc>
      </w:tr>
      <w:tr w:rsidR="009F4A22" w14:paraId="75230068" w14:textId="77777777" w:rsidTr="005E417E">
        <w:tblPrEx>
          <w:tblBorders>
            <w:insideH w:val="none" w:sz="0" w:space="0" w:color="auto"/>
            <w:insideV w:val="none" w:sz="0" w:space="0" w:color="auto"/>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50F5B5E" w14:textId="77777777" w:rsidR="009F4A22" w:rsidRPr="000E257B" w:rsidRDefault="009F4A22" w:rsidP="009F4A22">
            <w:pPr>
              <w:spacing w:line="264" w:lineRule="auto"/>
              <w:jc w:val="both"/>
              <w:rPr>
                <w:rFonts w:ascii="Arial" w:hAnsi="Arial" w:cs="Arial"/>
                <w:b/>
                <w:sz w:val="10"/>
                <w:szCs w:val="18"/>
                <w:lang w:val="id-ID"/>
              </w:rPr>
            </w:pPr>
          </w:p>
          <w:p w14:paraId="5930DAA5" w14:textId="77777777" w:rsidR="009F4A22" w:rsidRPr="000E257B" w:rsidRDefault="009F4A22" w:rsidP="009F4A22">
            <w:pPr>
              <w:spacing w:line="264" w:lineRule="auto"/>
              <w:jc w:val="both"/>
              <w:rPr>
                <w:rFonts w:ascii="Arial" w:hAnsi="Arial" w:cs="Arial"/>
                <w:b/>
                <w:sz w:val="18"/>
                <w:szCs w:val="18"/>
                <w:lang w:val="id-ID"/>
              </w:rPr>
            </w:pPr>
            <w:r w:rsidRPr="000E257B">
              <w:rPr>
                <w:rFonts w:ascii="Arial" w:hAnsi="Arial" w:cs="Arial"/>
                <w:b/>
                <w:sz w:val="18"/>
                <w:szCs w:val="18"/>
                <w:lang w:val="id-ID"/>
              </w:rPr>
              <w:t>Website</w:t>
            </w:r>
          </w:p>
          <w:p w14:paraId="6D8528AF" w14:textId="3544A233" w:rsidR="009F4A22" w:rsidRPr="002B0A43" w:rsidRDefault="009F4A22" w:rsidP="009F4A22">
            <w:pPr>
              <w:jc w:val="both"/>
              <w:rPr>
                <w:rFonts w:ascii="Arial" w:hAnsi="Arial" w:cs="Arial"/>
                <w:b/>
                <w:sz w:val="10"/>
                <w:szCs w:val="10"/>
                <w:lang w:val="en-AU"/>
              </w:rPr>
            </w:pPr>
          </w:p>
        </w:tc>
        <w:tc>
          <w:tcPr>
            <w:tcW w:w="7020" w:type="dxa"/>
            <w:tcBorders>
              <w:top w:val="single" w:sz="4" w:space="0" w:color="auto"/>
              <w:left w:val="single" w:sz="4" w:space="0" w:color="auto"/>
              <w:bottom w:val="single" w:sz="4" w:space="0" w:color="auto"/>
              <w:right w:val="single" w:sz="4" w:space="0" w:color="auto"/>
            </w:tcBorders>
          </w:tcPr>
          <w:p w14:paraId="4240E04E" w14:textId="77777777" w:rsidR="009F4A22" w:rsidRPr="000E257B" w:rsidRDefault="009F4A22" w:rsidP="00296B6F">
            <w:pPr>
              <w:spacing w:line="264" w:lineRule="auto"/>
              <w:ind w:left="72"/>
              <w:jc w:val="both"/>
              <w:rPr>
                <w:rFonts w:ascii="Arial" w:hAnsi="Arial" w:cs="Arial"/>
                <w:bCs/>
                <w:sz w:val="10"/>
                <w:szCs w:val="18"/>
                <w:lang w:val="id-ID"/>
              </w:rPr>
            </w:pPr>
          </w:p>
          <w:p w14:paraId="4DE9ED8C" w14:textId="77777777" w:rsidR="009F4A22" w:rsidRPr="000E257B" w:rsidRDefault="009F4A22" w:rsidP="00296B6F">
            <w:pPr>
              <w:spacing w:line="264" w:lineRule="auto"/>
              <w:ind w:left="72"/>
              <w:jc w:val="both"/>
              <w:rPr>
                <w:rFonts w:ascii="Arial" w:hAnsi="Arial" w:cs="Arial"/>
                <w:bCs/>
                <w:sz w:val="18"/>
                <w:szCs w:val="18"/>
                <w:lang w:val="id-ID"/>
              </w:rPr>
            </w:pPr>
            <w:hyperlink r:id="rId10" w:history="1">
              <w:r w:rsidRPr="000E257B">
                <w:rPr>
                  <w:rFonts w:ascii="Arial" w:hAnsi="Arial" w:cs="Arial"/>
                  <w:bCs/>
                  <w:color w:val="0000FF"/>
                  <w:sz w:val="18"/>
                  <w:szCs w:val="18"/>
                  <w:u w:val="single"/>
                </w:rPr>
                <w:t>http://www.h</w:t>
              </w:r>
              <w:r w:rsidRPr="000E257B">
                <w:rPr>
                  <w:rFonts w:ascii="Arial" w:hAnsi="Arial" w:cs="Arial"/>
                  <w:bCs/>
                  <w:color w:val="0000FF"/>
                  <w:sz w:val="18"/>
                  <w:szCs w:val="18"/>
                  <w:u w:val="single"/>
                  <w:lang w:val="id-ID"/>
                </w:rPr>
                <w:t>h</w:t>
              </w:r>
              <w:r w:rsidRPr="000E257B">
                <w:rPr>
                  <w:rFonts w:ascii="Arial" w:hAnsi="Arial" w:cs="Arial"/>
                  <w:bCs/>
                  <w:color w:val="0000FF"/>
                  <w:sz w:val="18"/>
                  <w:szCs w:val="18"/>
                  <w:u w:val="single"/>
                </w:rPr>
                <w:t>rlawyers.com</w:t>
              </w:r>
            </w:hyperlink>
          </w:p>
          <w:p w14:paraId="42E8B98C" w14:textId="77777777" w:rsidR="009F4A22" w:rsidRPr="002B0A43" w:rsidRDefault="009F4A22" w:rsidP="00296B6F">
            <w:pPr>
              <w:ind w:left="72"/>
              <w:jc w:val="both"/>
              <w:rPr>
                <w:rFonts w:ascii="Arial" w:hAnsi="Arial" w:cs="Arial"/>
                <w:sz w:val="10"/>
                <w:szCs w:val="10"/>
                <w:lang w:val="id-ID"/>
              </w:rPr>
            </w:pPr>
          </w:p>
        </w:tc>
      </w:tr>
    </w:tbl>
    <w:p w14:paraId="7DF2071F" w14:textId="77777777" w:rsidR="00247949" w:rsidRDefault="00247949" w:rsidP="00A94333"/>
    <w:sectPr w:rsidR="00247949" w:rsidSect="00A5474C">
      <w:headerReference w:type="default" r:id="rId11"/>
      <w:footerReference w:type="even" r:id="rId12"/>
      <w:footerReference w:type="default" r:id="rId13"/>
      <w:pgSz w:w="11909" w:h="16834" w:code="9"/>
      <w:pgMar w:top="1440" w:right="1440" w:bottom="1440" w:left="1440" w:header="115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6A54" w14:textId="77777777" w:rsidR="00CE6356" w:rsidRDefault="00CE6356">
      <w:r>
        <w:separator/>
      </w:r>
    </w:p>
  </w:endnote>
  <w:endnote w:type="continuationSeparator" w:id="0">
    <w:p w14:paraId="301A5CDE" w14:textId="77777777" w:rsidR="00CE6356" w:rsidRDefault="00CE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1F64" w14:textId="77777777" w:rsidR="00F23D27" w:rsidRDefault="00F23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BD0709" w14:textId="77777777" w:rsidR="00F23D27" w:rsidRDefault="00F23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F519" w14:textId="77777777" w:rsidR="00F23D27" w:rsidRDefault="00F23D27">
    <w:pPr>
      <w:pStyle w:val="Footer"/>
      <w:framePr w:wrap="around" w:vAnchor="text" w:hAnchor="margin" w:xAlign="right"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3A2EBC">
      <w:rPr>
        <w:rStyle w:val="PageNumber"/>
        <w:rFonts w:ascii="Arial" w:hAnsi="Arial" w:cs="Arial"/>
        <w:noProof/>
        <w:sz w:val="16"/>
      </w:rPr>
      <w:t>1</w:t>
    </w:r>
    <w:r>
      <w:rPr>
        <w:rStyle w:val="PageNumber"/>
        <w:rFonts w:ascii="Arial" w:hAnsi="Arial" w:cs="Arial"/>
        <w:sz w:val="16"/>
      </w:rPr>
      <w:fldChar w:fldCharType="end"/>
    </w:r>
  </w:p>
  <w:p w14:paraId="79D5805E" w14:textId="4165FDE5" w:rsidR="00F23D27" w:rsidRPr="007C596C" w:rsidRDefault="00F23D27" w:rsidP="00180F5E">
    <w:pPr>
      <w:pStyle w:val="Footer"/>
      <w:tabs>
        <w:tab w:val="clear" w:pos="4320"/>
        <w:tab w:val="clear" w:pos="8640"/>
        <w:tab w:val="right" w:pos="9000"/>
      </w:tabs>
      <w:ind w:right="29"/>
      <w:rPr>
        <w:rFonts w:ascii="Arial" w:hAnsi="Arial"/>
        <w:sz w:val="16"/>
      </w:rPr>
    </w:pPr>
    <w:r>
      <w:rPr>
        <w:rFonts w:ascii="Arial" w:hAnsi="Arial"/>
        <w:sz w:val="12"/>
      </w:rPr>
      <w:t xml:space="preserve">                                                                                                                                                                                                                               </w:t>
    </w:r>
    <w:r w:rsidR="00F519F3">
      <w:rPr>
        <w:rFonts w:ascii="Arial" w:hAnsi="Arial"/>
        <w:sz w:val="12"/>
      </w:rPr>
      <w:t xml:space="preserve">      </w:t>
    </w:r>
    <w:r w:rsidR="00180F5E">
      <w:rPr>
        <w:rFonts w:ascii="Arial" w:hAnsi="Arial"/>
        <w:sz w:val="12"/>
      </w:rPr>
      <w:t xml:space="preserve">                         </w:t>
    </w:r>
    <w:r w:rsidRPr="007C596C">
      <w:rPr>
        <w:rFonts w:ascii="Arial" w:hAnsi="Arial"/>
        <w:sz w:val="16"/>
      </w:rPr>
      <w:t>Page</w:t>
    </w:r>
    <w:r w:rsidR="00180F5E">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21DC" w14:textId="77777777" w:rsidR="00CE6356" w:rsidRDefault="00CE6356">
      <w:r>
        <w:separator/>
      </w:r>
    </w:p>
  </w:footnote>
  <w:footnote w:type="continuationSeparator" w:id="0">
    <w:p w14:paraId="0F8096E3" w14:textId="77777777" w:rsidR="00CE6356" w:rsidRDefault="00CE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4FC0" w14:textId="77777777" w:rsidR="00486511" w:rsidRDefault="007C596C" w:rsidP="00486511">
    <w:pPr>
      <w:pStyle w:val="Header"/>
      <w:jc w:val="right"/>
    </w:pPr>
    <w:r>
      <w:rPr>
        <w:noProof/>
      </w:rPr>
      <w:drawing>
        <wp:anchor distT="0" distB="0" distL="114300" distR="114300" simplePos="0" relativeHeight="251658240" behindDoc="1" locked="0" layoutInCell="1" allowOverlap="1" wp14:anchorId="51804DA2" wp14:editId="63D83FCD">
          <wp:simplePos x="0" y="0"/>
          <wp:positionH relativeFrom="margin">
            <wp:posOffset>5028565</wp:posOffset>
          </wp:positionH>
          <wp:positionV relativeFrom="paragraph">
            <wp:posOffset>-511810</wp:posOffset>
          </wp:positionV>
          <wp:extent cx="835183" cy="582807"/>
          <wp:effectExtent l="0" t="0" r="3175"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35183" cy="5828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269"/>
    <w:multiLevelType w:val="hybridMultilevel"/>
    <w:tmpl w:val="92FA22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2DF5608"/>
    <w:multiLevelType w:val="hybridMultilevel"/>
    <w:tmpl w:val="51B05E6A"/>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4D04"/>
    <w:multiLevelType w:val="multilevel"/>
    <w:tmpl w:val="AA26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C002B"/>
    <w:multiLevelType w:val="hybridMultilevel"/>
    <w:tmpl w:val="30C0973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A530ED"/>
    <w:multiLevelType w:val="hybridMultilevel"/>
    <w:tmpl w:val="7400951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2B3F87"/>
    <w:multiLevelType w:val="hybridMultilevel"/>
    <w:tmpl w:val="10946A3E"/>
    <w:lvl w:ilvl="0" w:tplc="69E2683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D3290"/>
    <w:multiLevelType w:val="hybridMultilevel"/>
    <w:tmpl w:val="DC48725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62E611E"/>
    <w:multiLevelType w:val="hybridMultilevel"/>
    <w:tmpl w:val="12467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5963B7"/>
    <w:multiLevelType w:val="hybridMultilevel"/>
    <w:tmpl w:val="DCA8B75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E053DB1"/>
    <w:multiLevelType w:val="hybridMultilevel"/>
    <w:tmpl w:val="AA5C2A4C"/>
    <w:lvl w:ilvl="0" w:tplc="270AF19C">
      <w:start w:val="1"/>
      <w:numFmt w:val="bullet"/>
      <w:lvlText w:val=""/>
      <w:lvlJc w:val="left"/>
      <w:pPr>
        <w:ind w:left="792" w:hanging="360"/>
      </w:pPr>
      <w:rPr>
        <w:rFonts w:ascii="Symbol" w:hAnsi="Symbol" w:hint="default"/>
        <w:sz w:val="18"/>
        <w:szCs w:val="18"/>
      </w:rPr>
    </w:lvl>
    <w:lvl w:ilvl="1" w:tplc="38090003" w:tentative="1">
      <w:start w:val="1"/>
      <w:numFmt w:val="bullet"/>
      <w:lvlText w:val="o"/>
      <w:lvlJc w:val="left"/>
      <w:pPr>
        <w:ind w:left="1512" w:hanging="360"/>
      </w:pPr>
      <w:rPr>
        <w:rFonts w:ascii="Courier New" w:hAnsi="Courier New" w:cs="Courier New" w:hint="default"/>
      </w:rPr>
    </w:lvl>
    <w:lvl w:ilvl="2" w:tplc="38090005" w:tentative="1">
      <w:start w:val="1"/>
      <w:numFmt w:val="bullet"/>
      <w:lvlText w:val=""/>
      <w:lvlJc w:val="left"/>
      <w:pPr>
        <w:ind w:left="2232" w:hanging="360"/>
      </w:pPr>
      <w:rPr>
        <w:rFonts w:ascii="Wingdings" w:hAnsi="Wingdings" w:hint="default"/>
      </w:rPr>
    </w:lvl>
    <w:lvl w:ilvl="3" w:tplc="38090001" w:tentative="1">
      <w:start w:val="1"/>
      <w:numFmt w:val="bullet"/>
      <w:lvlText w:val=""/>
      <w:lvlJc w:val="left"/>
      <w:pPr>
        <w:ind w:left="2952" w:hanging="360"/>
      </w:pPr>
      <w:rPr>
        <w:rFonts w:ascii="Symbol" w:hAnsi="Symbol" w:hint="default"/>
      </w:rPr>
    </w:lvl>
    <w:lvl w:ilvl="4" w:tplc="38090003" w:tentative="1">
      <w:start w:val="1"/>
      <w:numFmt w:val="bullet"/>
      <w:lvlText w:val="o"/>
      <w:lvlJc w:val="left"/>
      <w:pPr>
        <w:ind w:left="3672" w:hanging="360"/>
      </w:pPr>
      <w:rPr>
        <w:rFonts w:ascii="Courier New" w:hAnsi="Courier New" w:cs="Courier New" w:hint="default"/>
      </w:rPr>
    </w:lvl>
    <w:lvl w:ilvl="5" w:tplc="38090005" w:tentative="1">
      <w:start w:val="1"/>
      <w:numFmt w:val="bullet"/>
      <w:lvlText w:val=""/>
      <w:lvlJc w:val="left"/>
      <w:pPr>
        <w:ind w:left="4392" w:hanging="360"/>
      </w:pPr>
      <w:rPr>
        <w:rFonts w:ascii="Wingdings" w:hAnsi="Wingdings" w:hint="default"/>
      </w:rPr>
    </w:lvl>
    <w:lvl w:ilvl="6" w:tplc="38090001" w:tentative="1">
      <w:start w:val="1"/>
      <w:numFmt w:val="bullet"/>
      <w:lvlText w:val=""/>
      <w:lvlJc w:val="left"/>
      <w:pPr>
        <w:ind w:left="5112" w:hanging="360"/>
      </w:pPr>
      <w:rPr>
        <w:rFonts w:ascii="Symbol" w:hAnsi="Symbol" w:hint="default"/>
      </w:rPr>
    </w:lvl>
    <w:lvl w:ilvl="7" w:tplc="38090003" w:tentative="1">
      <w:start w:val="1"/>
      <w:numFmt w:val="bullet"/>
      <w:lvlText w:val="o"/>
      <w:lvlJc w:val="left"/>
      <w:pPr>
        <w:ind w:left="5832" w:hanging="360"/>
      </w:pPr>
      <w:rPr>
        <w:rFonts w:ascii="Courier New" w:hAnsi="Courier New" w:cs="Courier New" w:hint="default"/>
      </w:rPr>
    </w:lvl>
    <w:lvl w:ilvl="8" w:tplc="38090005" w:tentative="1">
      <w:start w:val="1"/>
      <w:numFmt w:val="bullet"/>
      <w:lvlText w:val=""/>
      <w:lvlJc w:val="left"/>
      <w:pPr>
        <w:ind w:left="6552" w:hanging="360"/>
      </w:pPr>
      <w:rPr>
        <w:rFonts w:ascii="Wingdings" w:hAnsi="Wingdings" w:hint="default"/>
      </w:rPr>
    </w:lvl>
  </w:abstractNum>
  <w:abstractNum w:abstractNumId="10" w15:restartNumberingAfterBreak="0">
    <w:nsid w:val="336277FA"/>
    <w:multiLevelType w:val="hybridMultilevel"/>
    <w:tmpl w:val="F90E22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591288B"/>
    <w:multiLevelType w:val="hybridMultilevel"/>
    <w:tmpl w:val="E11C87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A7C5A4F"/>
    <w:multiLevelType w:val="hybridMultilevel"/>
    <w:tmpl w:val="85D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053848"/>
    <w:multiLevelType w:val="hybridMultilevel"/>
    <w:tmpl w:val="DAF44838"/>
    <w:lvl w:ilvl="0" w:tplc="38090001">
      <w:start w:val="1"/>
      <w:numFmt w:val="bullet"/>
      <w:lvlText w:val=""/>
      <w:lvlJc w:val="left"/>
      <w:pPr>
        <w:ind w:left="792" w:hanging="360"/>
      </w:pPr>
      <w:rPr>
        <w:rFonts w:ascii="Symbol" w:hAnsi="Symbol" w:hint="default"/>
      </w:rPr>
    </w:lvl>
    <w:lvl w:ilvl="1" w:tplc="38090003" w:tentative="1">
      <w:start w:val="1"/>
      <w:numFmt w:val="bullet"/>
      <w:lvlText w:val="o"/>
      <w:lvlJc w:val="left"/>
      <w:pPr>
        <w:ind w:left="1512" w:hanging="360"/>
      </w:pPr>
      <w:rPr>
        <w:rFonts w:ascii="Courier New" w:hAnsi="Courier New" w:cs="Courier New" w:hint="default"/>
      </w:rPr>
    </w:lvl>
    <w:lvl w:ilvl="2" w:tplc="38090005" w:tentative="1">
      <w:start w:val="1"/>
      <w:numFmt w:val="bullet"/>
      <w:lvlText w:val=""/>
      <w:lvlJc w:val="left"/>
      <w:pPr>
        <w:ind w:left="2232" w:hanging="360"/>
      </w:pPr>
      <w:rPr>
        <w:rFonts w:ascii="Wingdings" w:hAnsi="Wingdings" w:hint="default"/>
      </w:rPr>
    </w:lvl>
    <w:lvl w:ilvl="3" w:tplc="38090001" w:tentative="1">
      <w:start w:val="1"/>
      <w:numFmt w:val="bullet"/>
      <w:lvlText w:val=""/>
      <w:lvlJc w:val="left"/>
      <w:pPr>
        <w:ind w:left="2952" w:hanging="360"/>
      </w:pPr>
      <w:rPr>
        <w:rFonts w:ascii="Symbol" w:hAnsi="Symbol" w:hint="default"/>
      </w:rPr>
    </w:lvl>
    <w:lvl w:ilvl="4" w:tplc="38090003" w:tentative="1">
      <w:start w:val="1"/>
      <w:numFmt w:val="bullet"/>
      <w:lvlText w:val="o"/>
      <w:lvlJc w:val="left"/>
      <w:pPr>
        <w:ind w:left="3672" w:hanging="360"/>
      </w:pPr>
      <w:rPr>
        <w:rFonts w:ascii="Courier New" w:hAnsi="Courier New" w:cs="Courier New" w:hint="default"/>
      </w:rPr>
    </w:lvl>
    <w:lvl w:ilvl="5" w:tplc="38090005" w:tentative="1">
      <w:start w:val="1"/>
      <w:numFmt w:val="bullet"/>
      <w:lvlText w:val=""/>
      <w:lvlJc w:val="left"/>
      <w:pPr>
        <w:ind w:left="4392" w:hanging="360"/>
      </w:pPr>
      <w:rPr>
        <w:rFonts w:ascii="Wingdings" w:hAnsi="Wingdings" w:hint="default"/>
      </w:rPr>
    </w:lvl>
    <w:lvl w:ilvl="6" w:tplc="38090001" w:tentative="1">
      <w:start w:val="1"/>
      <w:numFmt w:val="bullet"/>
      <w:lvlText w:val=""/>
      <w:lvlJc w:val="left"/>
      <w:pPr>
        <w:ind w:left="5112" w:hanging="360"/>
      </w:pPr>
      <w:rPr>
        <w:rFonts w:ascii="Symbol" w:hAnsi="Symbol" w:hint="default"/>
      </w:rPr>
    </w:lvl>
    <w:lvl w:ilvl="7" w:tplc="38090003" w:tentative="1">
      <w:start w:val="1"/>
      <w:numFmt w:val="bullet"/>
      <w:lvlText w:val="o"/>
      <w:lvlJc w:val="left"/>
      <w:pPr>
        <w:ind w:left="5832" w:hanging="360"/>
      </w:pPr>
      <w:rPr>
        <w:rFonts w:ascii="Courier New" w:hAnsi="Courier New" w:cs="Courier New" w:hint="default"/>
      </w:rPr>
    </w:lvl>
    <w:lvl w:ilvl="8" w:tplc="38090005" w:tentative="1">
      <w:start w:val="1"/>
      <w:numFmt w:val="bullet"/>
      <w:lvlText w:val=""/>
      <w:lvlJc w:val="left"/>
      <w:pPr>
        <w:ind w:left="6552" w:hanging="360"/>
      </w:pPr>
      <w:rPr>
        <w:rFonts w:ascii="Wingdings" w:hAnsi="Wingdings" w:hint="default"/>
      </w:rPr>
    </w:lvl>
  </w:abstractNum>
  <w:abstractNum w:abstractNumId="14" w15:restartNumberingAfterBreak="0">
    <w:nsid w:val="480074DF"/>
    <w:multiLevelType w:val="hybridMultilevel"/>
    <w:tmpl w:val="E07EC3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9FD2448"/>
    <w:multiLevelType w:val="hybridMultilevel"/>
    <w:tmpl w:val="4686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E2F32"/>
    <w:multiLevelType w:val="hybridMultilevel"/>
    <w:tmpl w:val="75FCCC32"/>
    <w:lvl w:ilvl="0" w:tplc="0421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D0DC6"/>
    <w:multiLevelType w:val="hybridMultilevel"/>
    <w:tmpl w:val="B0D66EBC"/>
    <w:lvl w:ilvl="0" w:tplc="D2A0C1BA">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5D876BC"/>
    <w:multiLevelType w:val="hybridMultilevel"/>
    <w:tmpl w:val="CBB4423A"/>
    <w:lvl w:ilvl="0" w:tplc="2EE698BC">
      <w:start w:val="19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E4101"/>
    <w:multiLevelType w:val="hybridMultilevel"/>
    <w:tmpl w:val="E6EE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57E7C"/>
    <w:multiLevelType w:val="hybridMultilevel"/>
    <w:tmpl w:val="5308BF8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84B4F"/>
    <w:multiLevelType w:val="hybridMultilevel"/>
    <w:tmpl w:val="178EFE08"/>
    <w:lvl w:ilvl="0" w:tplc="00CAAB1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610CA5"/>
    <w:multiLevelType w:val="hybridMultilevel"/>
    <w:tmpl w:val="77A212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C0C6C"/>
    <w:multiLevelType w:val="hybridMultilevel"/>
    <w:tmpl w:val="74B2492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B6109"/>
    <w:multiLevelType w:val="hybridMultilevel"/>
    <w:tmpl w:val="9474ADC0"/>
    <w:lvl w:ilvl="0" w:tplc="146259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E3C25"/>
    <w:multiLevelType w:val="hybridMultilevel"/>
    <w:tmpl w:val="3844D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22617"/>
    <w:multiLevelType w:val="hybridMultilevel"/>
    <w:tmpl w:val="060406A2"/>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E5D93"/>
    <w:multiLevelType w:val="singleLevel"/>
    <w:tmpl w:val="2A8C8F52"/>
    <w:lvl w:ilvl="0">
      <w:start w:val="1"/>
      <w:numFmt w:val="bullet"/>
      <w:lvlText w:val="•"/>
      <w:lvlJc w:val="left"/>
      <w:pPr>
        <w:tabs>
          <w:tab w:val="num" w:pos="360"/>
        </w:tabs>
        <w:ind w:left="360" w:hanging="360"/>
      </w:pPr>
      <w:rPr>
        <w:rFonts w:ascii="Arial" w:hAnsi="Arial" w:hint="default"/>
        <w:b w:val="0"/>
        <w:i w:val="0"/>
        <w:sz w:val="16"/>
      </w:rPr>
    </w:lvl>
  </w:abstractNum>
  <w:abstractNum w:abstractNumId="28" w15:restartNumberingAfterBreak="0">
    <w:nsid w:val="76113490"/>
    <w:multiLevelType w:val="hybridMultilevel"/>
    <w:tmpl w:val="47B08BBC"/>
    <w:lvl w:ilvl="0" w:tplc="04090005">
      <w:start w:val="1"/>
      <w:numFmt w:val="bullet"/>
      <w:lvlText w:val=""/>
      <w:lvlJc w:val="left"/>
      <w:pPr>
        <w:tabs>
          <w:tab w:val="num" w:pos="720"/>
        </w:tabs>
        <w:ind w:left="720" w:hanging="360"/>
      </w:pPr>
      <w:rPr>
        <w:rFonts w:ascii="Wingdings" w:hAnsi="Wingdings" w:hint="default"/>
      </w:rPr>
    </w:lvl>
    <w:lvl w:ilvl="1" w:tplc="15EA27EE">
      <w:numFmt w:val="bullet"/>
      <w:lvlText w:val="-"/>
      <w:lvlJc w:val="left"/>
      <w:pPr>
        <w:tabs>
          <w:tab w:val="num" w:pos="1440"/>
        </w:tabs>
        <w:ind w:left="1440" w:hanging="360"/>
      </w:pPr>
      <w:rPr>
        <w:rFonts w:ascii="Arial" w:eastAsia="Times New Roman" w:hAnsi="Arial"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6C7E2B"/>
    <w:multiLevelType w:val="hybridMultilevel"/>
    <w:tmpl w:val="17B8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F17B3"/>
    <w:multiLevelType w:val="hybridMultilevel"/>
    <w:tmpl w:val="0470B77E"/>
    <w:lvl w:ilvl="0" w:tplc="07B4F678">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88898214">
    <w:abstractNumId w:val="21"/>
  </w:num>
  <w:num w:numId="2" w16cid:durableId="2794567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4901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3777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851479">
    <w:abstractNumId w:val="28"/>
  </w:num>
  <w:num w:numId="6" w16cid:durableId="1933778085">
    <w:abstractNumId w:val="22"/>
  </w:num>
  <w:num w:numId="7" w16cid:durableId="1864055609">
    <w:abstractNumId w:val="14"/>
  </w:num>
  <w:num w:numId="8" w16cid:durableId="1412048378">
    <w:abstractNumId w:val="17"/>
  </w:num>
  <w:num w:numId="9" w16cid:durableId="563878350">
    <w:abstractNumId w:val="27"/>
  </w:num>
  <w:num w:numId="10" w16cid:durableId="1902669942">
    <w:abstractNumId w:val="30"/>
  </w:num>
  <w:num w:numId="11" w16cid:durableId="863516695">
    <w:abstractNumId w:val="3"/>
  </w:num>
  <w:num w:numId="12" w16cid:durableId="27608140">
    <w:abstractNumId w:val="26"/>
  </w:num>
  <w:num w:numId="13" w16cid:durableId="1089693481">
    <w:abstractNumId w:val="23"/>
  </w:num>
  <w:num w:numId="14" w16cid:durableId="90784881">
    <w:abstractNumId w:val="1"/>
  </w:num>
  <w:num w:numId="15" w16cid:durableId="1309550176">
    <w:abstractNumId w:val="7"/>
  </w:num>
  <w:num w:numId="16" w16cid:durableId="380640468">
    <w:abstractNumId w:val="20"/>
  </w:num>
  <w:num w:numId="17" w16cid:durableId="2065595369">
    <w:abstractNumId w:val="18"/>
  </w:num>
  <w:num w:numId="18" w16cid:durableId="1641569116">
    <w:abstractNumId w:val="19"/>
  </w:num>
  <w:num w:numId="19" w16cid:durableId="1300574428">
    <w:abstractNumId w:val="12"/>
  </w:num>
  <w:num w:numId="20" w16cid:durableId="596598975">
    <w:abstractNumId w:val="25"/>
  </w:num>
  <w:num w:numId="21" w16cid:durableId="1018701765">
    <w:abstractNumId w:val="16"/>
  </w:num>
  <w:num w:numId="22" w16cid:durableId="2091586193">
    <w:abstractNumId w:val="29"/>
  </w:num>
  <w:num w:numId="23" w16cid:durableId="1546671198">
    <w:abstractNumId w:val="15"/>
  </w:num>
  <w:num w:numId="24" w16cid:durableId="623199606">
    <w:abstractNumId w:val="2"/>
  </w:num>
  <w:num w:numId="25" w16cid:durableId="1075929668">
    <w:abstractNumId w:val="10"/>
  </w:num>
  <w:num w:numId="26" w16cid:durableId="1832796544">
    <w:abstractNumId w:val="5"/>
  </w:num>
  <w:num w:numId="27" w16cid:durableId="864951442">
    <w:abstractNumId w:val="24"/>
  </w:num>
  <w:num w:numId="28" w16cid:durableId="1939287903">
    <w:abstractNumId w:val="13"/>
  </w:num>
  <w:num w:numId="29" w16cid:durableId="274024886">
    <w:abstractNumId w:val="11"/>
  </w:num>
  <w:num w:numId="30" w16cid:durableId="1152260313">
    <w:abstractNumId w:val="8"/>
  </w:num>
  <w:num w:numId="31" w16cid:durableId="141503318">
    <w:abstractNumId w:val="9"/>
  </w:num>
  <w:num w:numId="32" w16cid:durableId="1352996925">
    <w:abstractNumId w:val="0"/>
  </w:num>
  <w:num w:numId="33" w16cid:durableId="18084288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3A"/>
    <w:rsid w:val="000041E4"/>
    <w:rsid w:val="00005DF9"/>
    <w:rsid w:val="000170AC"/>
    <w:rsid w:val="00034CF2"/>
    <w:rsid w:val="00062E6A"/>
    <w:rsid w:val="00062E87"/>
    <w:rsid w:val="00066D62"/>
    <w:rsid w:val="00067A81"/>
    <w:rsid w:val="0007018A"/>
    <w:rsid w:val="000749AA"/>
    <w:rsid w:val="00086FF2"/>
    <w:rsid w:val="00090AD0"/>
    <w:rsid w:val="00095905"/>
    <w:rsid w:val="000A1267"/>
    <w:rsid w:val="000A5466"/>
    <w:rsid w:val="000B3A9F"/>
    <w:rsid w:val="000C7993"/>
    <w:rsid w:val="000D2920"/>
    <w:rsid w:val="000D432D"/>
    <w:rsid w:val="000D53D8"/>
    <w:rsid w:val="000E3585"/>
    <w:rsid w:val="000E58AF"/>
    <w:rsid w:val="000F45EB"/>
    <w:rsid w:val="00112742"/>
    <w:rsid w:val="00120D03"/>
    <w:rsid w:val="00123091"/>
    <w:rsid w:val="00123E8B"/>
    <w:rsid w:val="00174ADB"/>
    <w:rsid w:val="00175A83"/>
    <w:rsid w:val="00180F5E"/>
    <w:rsid w:val="001B1BDF"/>
    <w:rsid w:val="001B2CB4"/>
    <w:rsid w:val="001C5505"/>
    <w:rsid w:val="001D37FD"/>
    <w:rsid w:val="001F649E"/>
    <w:rsid w:val="00216B4D"/>
    <w:rsid w:val="00230A1E"/>
    <w:rsid w:val="002359EF"/>
    <w:rsid w:val="0024700C"/>
    <w:rsid w:val="00247949"/>
    <w:rsid w:val="00255F59"/>
    <w:rsid w:val="00263DF5"/>
    <w:rsid w:val="00275620"/>
    <w:rsid w:val="00281E84"/>
    <w:rsid w:val="002823BD"/>
    <w:rsid w:val="002865B1"/>
    <w:rsid w:val="00286E45"/>
    <w:rsid w:val="00296B6F"/>
    <w:rsid w:val="002A2C5C"/>
    <w:rsid w:val="002B09FC"/>
    <w:rsid w:val="002B0A43"/>
    <w:rsid w:val="002E5D1B"/>
    <w:rsid w:val="002F220A"/>
    <w:rsid w:val="002F2732"/>
    <w:rsid w:val="00300768"/>
    <w:rsid w:val="00304808"/>
    <w:rsid w:val="003059C7"/>
    <w:rsid w:val="0031360E"/>
    <w:rsid w:val="003166ED"/>
    <w:rsid w:val="0034618D"/>
    <w:rsid w:val="00353382"/>
    <w:rsid w:val="00365E7A"/>
    <w:rsid w:val="003675FC"/>
    <w:rsid w:val="0039481E"/>
    <w:rsid w:val="00396605"/>
    <w:rsid w:val="003A2EBC"/>
    <w:rsid w:val="003A5743"/>
    <w:rsid w:val="003A6AB9"/>
    <w:rsid w:val="003C2194"/>
    <w:rsid w:val="003C6E25"/>
    <w:rsid w:val="003F044D"/>
    <w:rsid w:val="003F5FD5"/>
    <w:rsid w:val="004046E3"/>
    <w:rsid w:val="00405AF4"/>
    <w:rsid w:val="00407FF4"/>
    <w:rsid w:val="0041291D"/>
    <w:rsid w:val="00412EF6"/>
    <w:rsid w:val="00414996"/>
    <w:rsid w:val="004157B5"/>
    <w:rsid w:val="00423680"/>
    <w:rsid w:val="004271CF"/>
    <w:rsid w:val="00427A28"/>
    <w:rsid w:val="00436E85"/>
    <w:rsid w:val="00451FE5"/>
    <w:rsid w:val="00456761"/>
    <w:rsid w:val="00474C44"/>
    <w:rsid w:val="00486511"/>
    <w:rsid w:val="00487C18"/>
    <w:rsid w:val="004979A6"/>
    <w:rsid w:val="004A0948"/>
    <w:rsid w:val="004B7F69"/>
    <w:rsid w:val="004E5904"/>
    <w:rsid w:val="004E70F7"/>
    <w:rsid w:val="004F05EC"/>
    <w:rsid w:val="004F32F4"/>
    <w:rsid w:val="00503AC3"/>
    <w:rsid w:val="0052138F"/>
    <w:rsid w:val="00524897"/>
    <w:rsid w:val="00533864"/>
    <w:rsid w:val="005405A9"/>
    <w:rsid w:val="00541AA3"/>
    <w:rsid w:val="005454D9"/>
    <w:rsid w:val="00547526"/>
    <w:rsid w:val="0055152B"/>
    <w:rsid w:val="00566415"/>
    <w:rsid w:val="00570825"/>
    <w:rsid w:val="0057199C"/>
    <w:rsid w:val="00575897"/>
    <w:rsid w:val="0057713F"/>
    <w:rsid w:val="0058128A"/>
    <w:rsid w:val="00597DF6"/>
    <w:rsid w:val="005B1545"/>
    <w:rsid w:val="005B6EC5"/>
    <w:rsid w:val="005C01D6"/>
    <w:rsid w:val="005C4BF7"/>
    <w:rsid w:val="005C4F08"/>
    <w:rsid w:val="005D2CC2"/>
    <w:rsid w:val="005D31E1"/>
    <w:rsid w:val="005D3AB6"/>
    <w:rsid w:val="005D5A0B"/>
    <w:rsid w:val="005E1233"/>
    <w:rsid w:val="005E417E"/>
    <w:rsid w:val="005E578F"/>
    <w:rsid w:val="005E7D51"/>
    <w:rsid w:val="005F4E5C"/>
    <w:rsid w:val="005F6E6C"/>
    <w:rsid w:val="006135BA"/>
    <w:rsid w:val="006419F5"/>
    <w:rsid w:val="0064418A"/>
    <w:rsid w:val="00644437"/>
    <w:rsid w:val="006473CA"/>
    <w:rsid w:val="006576DC"/>
    <w:rsid w:val="00666A65"/>
    <w:rsid w:val="00673325"/>
    <w:rsid w:val="006753DE"/>
    <w:rsid w:val="0068138E"/>
    <w:rsid w:val="00693CC0"/>
    <w:rsid w:val="006A3864"/>
    <w:rsid w:val="006B3235"/>
    <w:rsid w:val="006D466D"/>
    <w:rsid w:val="00705E6E"/>
    <w:rsid w:val="00733135"/>
    <w:rsid w:val="00746637"/>
    <w:rsid w:val="0075524B"/>
    <w:rsid w:val="00763AA2"/>
    <w:rsid w:val="00766C2F"/>
    <w:rsid w:val="007755B9"/>
    <w:rsid w:val="007843AD"/>
    <w:rsid w:val="00785113"/>
    <w:rsid w:val="007944E8"/>
    <w:rsid w:val="007B5337"/>
    <w:rsid w:val="007C596C"/>
    <w:rsid w:val="007D1B34"/>
    <w:rsid w:val="007D4889"/>
    <w:rsid w:val="007D72AD"/>
    <w:rsid w:val="007E1A95"/>
    <w:rsid w:val="007E2468"/>
    <w:rsid w:val="007E33A7"/>
    <w:rsid w:val="007E627D"/>
    <w:rsid w:val="007F382E"/>
    <w:rsid w:val="008019FA"/>
    <w:rsid w:val="00803E6E"/>
    <w:rsid w:val="00827990"/>
    <w:rsid w:val="00830127"/>
    <w:rsid w:val="00830E51"/>
    <w:rsid w:val="00843846"/>
    <w:rsid w:val="00850712"/>
    <w:rsid w:val="00861357"/>
    <w:rsid w:val="0086416D"/>
    <w:rsid w:val="00866D16"/>
    <w:rsid w:val="008A24BF"/>
    <w:rsid w:val="008A6083"/>
    <w:rsid w:val="008A60AA"/>
    <w:rsid w:val="008B02E8"/>
    <w:rsid w:val="008B4D43"/>
    <w:rsid w:val="008C2DAB"/>
    <w:rsid w:val="008D6A9A"/>
    <w:rsid w:val="008F6343"/>
    <w:rsid w:val="008F661B"/>
    <w:rsid w:val="00901A4E"/>
    <w:rsid w:val="00931FFB"/>
    <w:rsid w:val="00954B00"/>
    <w:rsid w:val="00960450"/>
    <w:rsid w:val="00962A94"/>
    <w:rsid w:val="00967D5D"/>
    <w:rsid w:val="00972504"/>
    <w:rsid w:val="00985271"/>
    <w:rsid w:val="0099043C"/>
    <w:rsid w:val="009B73C7"/>
    <w:rsid w:val="009C54C4"/>
    <w:rsid w:val="009D2652"/>
    <w:rsid w:val="009D4CE3"/>
    <w:rsid w:val="009D7953"/>
    <w:rsid w:val="009F3238"/>
    <w:rsid w:val="009F4A22"/>
    <w:rsid w:val="009F772A"/>
    <w:rsid w:val="009F7937"/>
    <w:rsid w:val="00A04CF0"/>
    <w:rsid w:val="00A07778"/>
    <w:rsid w:val="00A07AEC"/>
    <w:rsid w:val="00A1180F"/>
    <w:rsid w:val="00A3477F"/>
    <w:rsid w:val="00A5474C"/>
    <w:rsid w:val="00A601B7"/>
    <w:rsid w:val="00A60966"/>
    <w:rsid w:val="00A62FE4"/>
    <w:rsid w:val="00A76AD0"/>
    <w:rsid w:val="00A94333"/>
    <w:rsid w:val="00A9459D"/>
    <w:rsid w:val="00AF5052"/>
    <w:rsid w:val="00AF64ED"/>
    <w:rsid w:val="00B02DA4"/>
    <w:rsid w:val="00B173CD"/>
    <w:rsid w:val="00B2033A"/>
    <w:rsid w:val="00B23D95"/>
    <w:rsid w:val="00B360FE"/>
    <w:rsid w:val="00B41092"/>
    <w:rsid w:val="00B432C2"/>
    <w:rsid w:val="00B76F73"/>
    <w:rsid w:val="00B87EDE"/>
    <w:rsid w:val="00B9065B"/>
    <w:rsid w:val="00B937B7"/>
    <w:rsid w:val="00B94098"/>
    <w:rsid w:val="00B95099"/>
    <w:rsid w:val="00B95D05"/>
    <w:rsid w:val="00BA47A5"/>
    <w:rsid w:val="00BA51AA"/>
    <w:rsid w:val="00BA7226"/>
    <w:rsid w:val="00BB145A"/>
    <w:rsid w:val="00BB37D1"/>
    <w:rsid w:val="00BB4FCC"/>
    <w:rsid w:val="00BB5A56"/>
    <w:rsid w:val="00BC4B2F"/>
    <w:rsid w:val="00BD1587"/>
    <w:rsid w:val="00BD4A14"/>
    <w:rsid w:val="00BD6D1C"/>
    <w:rsid w:val="00BE4F1C"/>
    <w:rsid w:val="00BF3E14"/>
    <w:rsid w:val="00BF4B2C"/>
    <w:rsid w:val="00C0303C"/>
    <w:rsid w:val="00C10D52"/>
    <w:rsid w:val="00C12175"/>
    <w:rsid w:val="00C315BC"/>
    <w:rsid w:val="00C36FA4"/>
    <w:rsid w:val="00C47749"/>
    <w:rsid w:val="00C52007"/>
    <w:rsid w:val="00C542C6"/>
    <w:rsid w:val="00C61705"/>
    <w:rsid w:val="00C84BFA"/>
    <w:rsid w:val="00C9188A"/>
    <w:rsid w:val="00C9580E"/>
    <w:rsid w:val="00CA3444"/>
    <w:rsid w:val="00CB045D"/>
    <w:rsid w:val="00CB6D94"/>
    <w:rsid w:val="00CC16A9"/>
    <w:rsid w:val="00CC4D90"/>
    <w:rsid w:val="00CC6EB2"/>
    <w:rsid w:val="00CD17AB"/>
    <w:rsid w:val="00CE6356"/>
    <w:rsid w:val="00CE713A"/>
    <w:rsid w:val="00CF1BB6"/>
    <w:rsid w:val="00CF75AE"/>
    <w:rsid w:val="00D0426C"/>
    <w:rsid w:val="00D05992"/>
    <w:rsid w:val="00D150E6"/>
    <w:rsid w:val="00D163AF"/>
    <w:rsid w:val="00D47A41"/>
    <w:rsid w:val="00D56796"/>
    <w:rsid w:val="00D7171A"/>
    <w:rsid w:val="00D718AC"/>
    <w:rsid w:val="00D849D7"/>
    <w:rsid w:val="00D86C09"/>
    <w:rsid w:val="00DB125A"/>
    <w:rsid w:val="00DC204F"/>
    <w:rsid w:val="00DC4038"/>
    <w:rsid w:val="00DC50B3"/>
    <w:rsid w:val="00DD0D2F"/>
    <w:rsid w:val="00DD6800"/>
    <w:rsid w:val="00DE7201"/>
    <w:rsid w:val="00DF01B9"/>
    <w:rsid w:val="00DF23D2"/>
    <w:rsid w:val="00E00388"/>
    <w:rsid w:val="00E2313C"/>
    <w:rsid w:val="00E231D7"/>
    <w:rsid w:val="00E24931"/>
    <w:rsid w:val="00E277E6"/>
    <w:rsid w:val="00E36DFA"/>
    <w:rsid w:val="00E379B1"/>
    <w:rsid w:val="00E515F0"/>
    <w:rsid w:val="00E5583C"/>
    <w:rsid w:val="00E63F1D"/>
    <w:rsid w:val="00E844C9"/>
    <w:rsid w:val="00E84C6B"/>
    <w:rsid w:val="00E93EAD"/>
    <w:rsid w:val="00EA39A7"/>
    <w:rsid w:val="00EA7B91"/>
    <w:rsid w:val="00EB2C8D"/>
    <w:rsid w:val="00EC29F8"/>
    <w:rsid w:val="00EF4C64"/>
    <w:rsid w:val="00F01003"/>
    <w:rsid w:val="00F11F54"/>
    <w:rsid w:val="00F12849"/>
    <w:rsid w:val="00F22E14"/>
    <w:rsid w:val="00F23D27"/>
    <w:rsid w:val="00F26066"/>
    <w:rsid w:val="00F26742"/>
    <w:rsid w:val="00F27C94"/>
    <w:rsid w:val="00F34781"/>
    <w:rsid w:val="00F46014"/>
    <w:rsid w:val="00F519F3"/>
    <w:rsid w:val="00F6670E"/>
    <w:rsid w:val="00F669B3"/>
    <w:rsid w:val="00F843B3"/>
    <w:rsid w:val="00F90094"/>
    <w:rsid w:val="00FB14F3"/>
    <w:rsid w:val="00FB7DBB"/>
    <w:rsid w:val="00FC2974"/>
    <w:rsid w:val="00FC6A1B"/>
    <w:rsid w:val="00FD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37614"/>
  <w15:docId w15:val="{1FEF5C67-8B74-4733-A239-D5F7A97B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245" w:lineRule="auto"/>
      <w:ind w:left="58"/>
      <w:jc w:val="both"/>
      <w:outlineLvl w:val="0"/>
    </w:pPr>
    <w:rPr>
      <w:rFonts w:ascii="Arial Bold" w:hAnsi="Arial Bold" w:cs="Arial"/>
      <w:b/>
      <w:smallCaps/>
      <w:sz w:val="18"/>
    </w:rPr>
  </w:style>
  <w:style w:type="paragraph" w:styleId="Heading7">
    <w:name w:val="heading 7"/>
    <w:basedOn w:val="Normal"/>
    <w:next w:val="Normal"/>
    <w:qFormat/>
    <w:pPr>
      <w:keepNext/>
      <w:spacing w:line="264" w:lineRule="auto"/>
      <w:outlineLvl w:val="6"/>
    </w:pPr>
    <w:rPr>
      <w:rFonts w:ascii="Arial" w:hAnsi="Arial" w:cs="Arial"/>
      <w:b/>
      <w:sz w:val="18"/>
    </w:rPr>
  </w:style>
  <w:style w:type="paragraph" w:styleId="Heading8">
    <w:name w:val="heading 8"/>
    <w:basedOn w:val="Normal"/>
    <w:next w:val="Normal"/>
    <w:qFormat/>
    <w:pPr>
      <w:keepNext/>
      <w:ind w:left="288" w:hanging="288"/>
      <w:outlineLvl w:val="7"/>
    </w:pPr>
    <w:rPr>
      <w:rFonts w:ascii="Arial Bold" w:hAnsi="Arial Bold" w:cs="Arial"/>
      <w:b/>
      <w:smallCap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1"/>
    <w:basedOn w:val="Normal"/>
    <w:semiHidden/>
    <w:pPr>
      <w:spacing w:line="264" w:lineRule="auto"/>
      <w:jc w:val="both"/>
    </w:pPr>
    <w:rPr>
      <w:rFonts w:ascii="Arial" w:hAnsi="Arial"/>
      <w:sz w:val="22"/>
    </w:rPr>
  </w:style>
  <w:style w:type="paragraph" w:styleId="BodyText2">
    <w:name w:val="Body Text 2"/>
    <w:basedOn w:val="Normal"/>
    <w:semiHidden/>
    <w:pPr>
      <w:spacing w:before="40" w:after="40"/>
      <w:jc w:val="center"/>
    </w:pPr>
    <w:rPr>
      <w:rFonts w:ascii="Arial" w:hAnsi="Arial" w:cs="Arial"/>
      <w:sz w:val="16"/>
      <w:szCs w:val="16"/>
    </w:rPr>
  </w:style>
  <w:style w:type="character" w:styleId="Hyperlink">
    <w:name w:val="Hyperlink"/>
    <w:basedOn w:val="DefaultParagraphFont"/>
    <w:rPr>
      <w:color w:val="0000FF"/>
      <w:u w:val="single"/>
    </w:rPr>
  </w:style>
  <w:style w:type="paragraph" w:customStyle="1" w:styleId="Level1">
    <w:name w:val="Level 1"/>
    <w:pPr>
      <w:autoSpaceDE w:val="0"/>
      <w:autoSpaceDN w:val="0"/>
      <w:adjustRightInd w:val="0"/>
      <w:ind w:left="720"/>
    </w:pPr>
    <w:rPr>
      <w:rFonts w:ascii="Arial" w:hAnsi="Arial"/>
      <w:sz w:val="24"/>
    </w:rPr>
  </w:style>
  <w:style w:type="paragraph" w:styleId="TOCHeading">
    <w:name w:val="TOC Heading"/>
    <w:basedOn w:val="Normal"/>
    <w:next w:val="Normal"/>
    <w:qFormat/>
    <w:pPr>
      <w:spacing w:before="360" w:line="312" w:lineRule="auto"/>
    </w:pPr>
    <w:rPr>
      <w:rFonts w:ascii="Arial" w:hAnsi="Arial"/>
      <w:b/>
      <w:sz w:val="20"/>
      <w:szCs w:val="20"/>
      <w:lang w:val="en-AU"/>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rPr>
  </w:style>
  <w:style w:type="character" w:customStyle="1" w:styleId="body1">
    <w:name w:val="body1"/>
    <w:basedOn w:val="DefaultParagraphFont"/>
    <w:rPr>
      <w:rFonts w:ascii="Verdana" w:hAnsi="Verdana" w:hint="default"/>
      <w:strike w:val="0"/>
      <w:dstrike w:val="0"/>
      <w:color w:val="333333"/>
      <w:sz w:val="13"/>
      <w:szCs w:val="13"/>
      <w:u w:val="none"/>
      <w:effect w:val="non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unhideWhenUsed/>
    <w:rsid w:val="00CE713A"/>
    <w:pPr>
      <w:spacing w:before="100" w:beforeAutospacing="1" w:after="100" w:afterAutospacing="1"/>
    </w:pPr>
  </w:style>
  <w:style w:type="paragraph" w:styleId="BalloonText">
    <w:name w:val="Balloon Text"/>
    <w:basedOn w:val="Normal"/>
    <w:link w:val="BalloonTextChar"/>
    <w:uiPriority w:val="99"/>
    <w:semiHidden/>
    <w:unhideWhenUsed/>
    <w:rsid w:val="00CE713A"/>
    <w:rPr>
      <w:rFonts w:ascii="Tahoma" w:hAnsi="Tahoma" w:cs="Tahoma"/>
      <w:sz w:val="16"/>
      <w:szCs w:val="16"/>
    </w:rPr>
  </w:style>
  <w:style w:type="character" w:customStyle="1" w:styleId="BalloonTextChar">
    <w:name w:val="Balloon Text Char"/>
    <w:basedOn w:val="DefaultParagraphFont"/>
    <w:link w:val="BalloonText"/>
    <w:uiPriority w:val="99"/>
    <w:semiHidden/>
    <w:rsid w:val="00CE713A"/>
    <w:rPr>
      <w:rFonts w:ascii="Tahoma" w:hAnsi="Tahoma" w:cs="Tahoma"/>
      <w:sz w:val="16"/>
      <w:szCs w:val="16"/>
    </w:rPr>
  </w:style>
  <w:style w:type="paragraph" w:customStyle="1" w:styleId="profiletext">
    <w:name w:val="profile_text"/>
    <w:basedOn w:val="Normal"/>
    <w:rsid w:val="00EB2C8D"/>
    <w:pPr>
      <w:spacing w:before="100" w:beforeAutospacing="1" w:after="100" w:afterAutospacing="1"/>
      <w:jc w:val="both"/>
    </w:pPr>
    <w:rPr>
      <w:rFonts w:ascii="Myriad Pro" w:hAnsi="Myriad Pro"/>
      <w:color w:val="FFFFFF"/>
      <w:sz w:val="21"/>
      <w:szCs w:val="21"/>
    </w:rPr>
  </w:style>
  <w:style w:type="paragraph" w:styleId="ListParagraph">
    <w:name w:val="List Paragraph"/>
    <w:basedOn w:val="Normal"/>
    <w:uiPriority w:val="34"/>
    <w:qFormat/>
    <w:rsid w:val="005E7D51"/>
    <w:pPr>
      <w:ind w:left="720"/>
      <w:contextualSpacing/>
    </w:pPr>
  </w:style>
  <w:style w:type="character" w:styleId="CommentReference">
    <w:name w:val="annotation reference"/>
    <w:basedOn w:val="DefaultParagraphFont"/>
    <w:uiPriority w:val="99"/>
    <w:semiHidden/>
    <w:unhideWhenUsed/>
    <w:rsid w:val="00693CC0"/>
    <w:rPr>
      <w:sz w:val="16"/>
      <w:szCs w:val="16"/>
    </w:rPr>
  </w:style>
  <w:style w:type="paragraph" w:styleId="CommentText">
    <w:name w:val="annotation text"/>
    <w:basedOn w:val="Normal"/>
    <w:link w:val="CommentTextChar"/>
    <w:uiPriority w:val="99"/>
    <w:semiHidden/>
    <w:unhideWhenUsed/>
    <w:rsid w:val="00693CC0"/>
    <w:rPr>
      <w:sz w:val="20"/>
      <w:szCs w:val="20"/>
    </w:rPr>
  </w:style>
  <w:style w:type="character" w:customStyle="1" w:styleId="CommentTextChar">
    <w:name w:val="Comment Text Char"/>
    <w:basedOn w:val="DefaultParagraphFont"/>
    <w:link w:val="CommentText"/>
    <w:uiPriority w:val="99"/>
    <w:semiHidden/>
    <w:rsid w:val="00693CC0"/>
  </w:style>
  <w:style w:type="paragraph" w:styleId="CommentSubject">
    <w:name w:val="annotation subject"/>
    <w:basedOn w:val="CommentText"/>
    <w:next w:val="CommentText"/>
    <w:link w:val="CommentSubjectChar"/>
    <w:uiPriority w:val="99"/>
    <w:semiHidden/>
    <w:unhideWhenUsed/>
    <w:rsid w:val="00693CC0"/>
    <w:rPr>
      <w:b/>
      <w:bCs/>
    </w:rPr>
  </w:style>
  <w:style w:type="character" w:customStyle="1" w:styleId="CommentSubjectChar">
    <w:name w:val="Comment Subject Char"/>
    <w:basedOn w:val="CommentTextChar"/>
    <w:link w:val="CommentSubject"/>
    <w:uiPriority w:val="99"/>
    <w:semiHidden/>
    <w:rsid w:val="00693CC0"/>
    <w:rPr>
      <w:b/>
      <w:bCs/>
    </w:rPr>
  </w:style>
  <w:style w:type="paragraph" w:styleId="BodyTextIndent3">
    <w:name w:val="Body Text Indent 3"/>
    <w:basedOn w:val="Normal"/>
    <w:link w:val="BodyTextIndent3Char"/>
    <w:uiPriority w:val="99"/>
    <w:semiHidden/>
    <w:unhideWhenUsed/>
    <w:rsid w:val="0057713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7713F"/>
    <w:rPr>
      <w:sz w:val="16"/>
      <w:szCs w:val="16"/>
    </w:rPr>
  </w:style>
  <w:style w:type="paragraph" w:styleId="Revision">
    <w:name w:val="Revision"/>
    <w:hidden/>
    <w:uiPriority w:val="99"/>
    <w:semiHidden/>
    <w:rsid w:val="00B02DA4"/>
    <w:rPr>
      <w:sz w:val="24"/>
      <w:szCs w:val="24"/>
    </w:rPr>
  </w:style>
  <w:style w:type="paragraph" w:customStyle="1" w:styleId="Default">
    <w:name w:val="Default"/>
    <w:rsid w:val="000F45EB"/>
    <w:pPr>
      <w:autoSpaceDE w:val="0"/>
      <w:autoSpaceDN w:val="0"/>
      <w:adjustRightInd w:val="0"/>
    </w:pPr>
    <w:rPr>
      <w:rFonts w:ascii="Arial" w:hAnsi="Arial" w:cs="Arial"/>
      <w:color w:val="000000"/>
      <w:sz w:val="24"/>
      <w:szCs w:val="24"/>
    </w:rPr>
  </w:style>
  <w:style w:type="paragraph" w:customStyle="1" w:styleId="a">
    <w:name w:val="_"/>
    <w:rsid w:val="00F26066"/>
    <w:pPr>
      <w:autoSpaceDE w:val="0"/>
      <w:autoSpaceDN w:val="0"/>
      <w:adjustRightInd w:val="0"/>
      <w:ind w:left="-1440"/>
    </w:pPr>
    <w:rPr>
      <w:sz w:val="24"/>
      <w:szCs w:val="24"/>
    </w:rPr>
  </w:style>
  <w:style w:type="character" w:customStyle="1" w:styleId="normaltextrun">
    <w:name w:val="normaltextrun"/>
    <w:basedOn w:val="DefaultParagraphFont"/>
    <w:rsid w:val="00F26066"/>
  </w:style>
  <w:style w:type="paragraph" w:styleId="BodyText3">
    <w:name w:val="Body Text 3"/>
    <w:basedOn w:val="Normal"/>
    <w:link w:val="BodyText3Char"/>
    <w:uiPriority w:val="99"/>
    <w:unhideWhenUsed/>
    <w:rsid w:val="00F26066"/>
    <w:pPr>
      <w:spacing w:after="120"/>
    </w:pPr>
    <w:rPr>
      <w:rFonts w:ascii="Arial" w:hAnsi="Arial"/>
      <w:sz w:val="16"/>
      <w:szCs w:val="16"/>
    </w:rPr>
  </w:style>
  <w:style w:type="character" w:customStyle="1" w:styleId="BodyText3Char">
    <w:name w:val="Body Text 3 Char"/>
    <w:basedOn w:val="DefaultParagraphFont"/>
    <w:link w:val="BodyText3"/>
    <w:uiPriority w:val="99"/>
    <w:rsid w:val="00F26066"/>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231306">
      <w:bodyDiv w:val="1"/>
      <w:marLeft w:val="0"/>
      <w:marRight w:val="0"/>
      <w:marTop w:val="0"/>
      <w:marBottom w:val="0"/>
      <w:divBdr>
        <w:top w:val="none" w:sz="0" w:space="0" w:color="auto"/>
        <w:left w:val="none" w:sz="0" w:space="0" w:color="auto"/>
        <w:bottom w:val="none" w:sz="0" w:space="0" w:color="auto"/>
        <w:right w:val="none" w:sz="0" w:space="0" w:color="auto"/>
      </w:divBdr>
    </w:div>
    <w:div w:id="518740369">
      <w:bodyDiv w:val="1"/>
      <w:marLeft w:val="0"/>
      <w:marRight w:val="0"/>
      <w:marTop w:val="0"/>
      <w:marBottom w:val="0"/>
      <w:divBdr>
        <w:top w:val="none" w:sz="0" w:space="0" w:color="auto"/>
        <w:left w:val="none" w:sz="0" w:space="0" w:color="auto"/>
        <w:bottom w:val="none" w:sz="0" w:space="0" w:color="auto"/>
        <w:right w:val="none" w:sz="0" w:space="0" w:color="auto"/>
      </w:divBdr>
    </w:div>
    <w:div w:id="1426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hrlawyers.com" TargetMode="External"/><Relationship Id="rId4" Type="http://schemas.openxmlformats.org/officeDocument/2006/relationships/settings" Target="settings.xml"/><Relationship Id="rId9" Type="http://schemas.openxmlformats.org/officeDocument/2006/relationships/hyperlink" Target="mailto:milantikirana@hhrlawyer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F1DB9-FB75-432D-AD67-5DC13EB2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hnrnet</Company>
  <LinksUpToDate>false</LinksUpToDate>
  <CharactersWithSpaces>6806</CharactersWithSpaces>
  <SharedDoc>false</SharedDoc>
  <HLinks>
    <vt:vector size="6" baseType="variant">
      <vt:variant>
        <vt:i4>6291460</vt:i4>
      </vt:variant>
      <vt:variant>
        <vt:i4>0</vt:i4>
      </vt:variant>
      <vt:variant>
        <vt:i4>0</vt:i4>
      </vt:variant>
      <vt:variant>
        <vt:i4>5</vt:i4>
      </vt:variant>
      <vt:variant>
        <vt:lpwstr>mailto:pheo.hutabarat@hnrlawyers.com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HHR-NNH</dc:creator>
  <cp:lastModifiedBy>JCH</cp:lastModifiedBy>
  <cp:revision>10</cp:revision>
  <cp:lastPrinted>2018-03-01T07:25:00Z</cp:lastPrinted>
  <dcterms:created xsi:type="dcterms:W3CDTF">2025-07-16T08:29:00Z</dcterms:created>
  <dcterms:modified xsi:type="dcterms:W3CDTF">2025-11-24T03:43:00Z</dcterms:modified>
</cp:coreProperties>
</file>